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b/>
          <w:szCs w:val="21"/>
        </w:rPr>
      </w:pPr>
      <w:r>
        <w:rPr>
          <w:rFonts w:hint="eastAsia" w:ascii="宋体" w:hAnsi="宋体" w:eastAsia="宋体" w:cs="宋体"/>
          <w:b/>
          <w:szCs w:val="21"/>
        </w:rPr>
        <w:t>一、判断题</w:t>
      </w:r>
    </w:p>
    <w:p>
      <w:pPr>
        <w:pStyle w:val="9"/>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依据《内河渔船法定检验技术规则（2019）》，</w:t>
      </w:r>
      <w:r>
        <w:rPr>
          <w:rFonts w:hint="eastAsia" w:ascii="宋体" w:hAnsi="宋体" w:eastAsia="宋体" w:cs="宋体"/>
          <w:szCs w:val="21"/>
        </w:rPr>
        <w:t>内河钢质渔船应勘划水尺标志。</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答案：√</w:t>
      </w:r>
    </w:p>
    <w:p>
      <w:pPr>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依据《内河渔船法定检验技术规则（2019）》，</w:t>
      </w:r>
      <w:r>
        <w:rPr>
          <w:rFonts w:hint="eastAsia" w:ascii="宋体" w:hAnsi="宋体" w:eastAsia="宋体" w:cs="宋体"/>
          <w:szCs w:val="21"/>
        </w:rPr>
        <w:t>除另有明文规定外，本规则适用于船长大于等于12m但小于30m、主机单机额定功率不超过220kW、电站容量不超过15kW的内河渔船。</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答案：√</w:t>
      </w:r>
    </w:p>
    <w:p>
      <w:pPr>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依据《内河渔船法定检验技术规则（2019）》，在干舷甲板上，由一舷伸至另一舷的或侧壁距船侧小于或等于0.04B的围壁结构为上层建筑，即艏楼、桥楼、艉楼；其他的围壁结构为甲板室。</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答案：√</w:t>
      </w:r>
    </w:p>
    <w:p>
      <w:pPr>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依据《内河小型渔船法定检验技术规则（2019）》，</w:t>
      </w:r>
      <w:r>
        <w:rPr>
          <w:rFonts w:hint="eastAsia" w:ascii="宋体" w:hAnsi="宋体" w:eastAsia="宋体" w:cs="宋体"/>
          <w:szCs w:val="21"/>
        </w:rPr>
        <w:t>本规则适用于高速船（艇）。</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答案：×</w:t>
      </w:r>
    </w:p>
    <w:p>
      <w:pPr>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依据《内河渔船法定检验技术规则（2019）》，</w:t>
      </w:r>
      <w:r>
        <w:rPr>
          <w:rFonts w:hint="eastAsia" w:ascii="宋体" w:hAnsi="宋体" w:eastAsia="宋体" w:cs="宋体"/>
          <w:szCs w:val="21"/>
        </w:rPr>
        <w:t>除另有规定外，本规则适用于船长大于或等于5m但小于12m，有上层建筑或甲板室结构的内河渔船。</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答案：×</w:t>
      </w:r>
    </w:p>
    <w:p>
      <w:pPr>
        <w:pStyle w:val="9"/>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依据《</w:t>
      </w:r>
      <w:r>
        <w:rPr>
          <w:rFonts w:hint="eastAsia" w:ascii="宋体" w:hAnsi="宋体" w:eastAsia="宋体" w:cs="宋体"/>
          <w:szCs w:val="21"/>
          <w:highlight w:val="none"/>
        </w:rPr>
        <w:t>内河渔船法定检验技术规则（2019）》</w:t>
      </w:r>
      <w:r>
        <w:rPr>
          <w:rFonts w:hint="eastAsia" w:ascii="宋体" w:hAnsi="宋体" w:eastAsia="宋体" w:cs="宋体"/>
          <w:color w:val="auto"/>
          <w:szCs w:val="21"/>
          <w:highlight w:val="none"/>
          <w:lang w:val="en-US" w:eastAsia="zh-CN"/>
        </w:rPr>
        <w:t>及《航区划分规则（2021）》</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根据有义波</w:t>
      </w:r>
      <w:r>
        <w:rPr>
          <w:rFonts w:hint="eastAsia" w:ascii="宋体" w:hAnsi="宋体" w:eastAsia="宋体" w:cs="宋体"/>
          <w:color w:val="auto"/>
          <w:szCs w:val="21"/>
          <w:highlight w:val="none"/>
        </w:rPr>
        <w:t>高，将内河航区由高向低划分为A、B、C三级。A级</w:t>
      </w:r>
      <w:r>
        <w:rPr>
          <w:rFonts w:hint="eastAsia" w:ascii="宋体" w:hAnsi="宋体" w:eastAsia="宋体" w:cs="宋体"/>
          <w:color w:val="auto"/>
          <w:szCs w:val="21"/>
          <w:highlight w:val="none"/>
          <w:lang w:val="en-US" w:eastAsia="zh-CN"/>
        </w:rPr>
        <w:t>有义波</w:t>
      </w:r>
      <w:r>
        <w:rPr>
          <w:rFonts w:hint="eastAsia" w:ascii="宋体" w:hAnsi="宋体" w:eastAsia="宋体" w:cs="宋体"/>
          <w:color w:val="auto"/>
          <w:szCs w:val="21"/>
          <w:highlight w:val="none"/>
        </w:rPr>
        <w:t>高为：1.5m&lt;h≤2.5m；B级</w:t>
      </w:r>
      <w:r>
        <w:rPr>
          <w:rFonts w:hint="eastAsia" w:ascii="宋体" w:hAnsi="宋体" w:eastAsia="宋体" w:cs="宋体"/>
          <w:color w:val="auto"/>
          <w:szCs w:val="21"/>
          <w:highlight w:val="none"/>
          <w:lang w:val="en-US" w:eastAsia="zh-CN"/>
        </w:rPr>
        <w:t>有义波</w:t>
      </w:r>
      <w:r>
        <w:rPr>
          <w:rFonts w:hint="eastAsia" w:ascii="宋体" w:hAnsi="宋体" w:eastAsia="宋体" w:cs="宋体"/>
          <w:color w:val="auto"/>
          <w:szCs w:val="21"/>
          <w:highlight w:val="none"/>
        </w:rPr>
        <w:t>高为：0.5m&lt;h≤1.5m；C级</w:t>
      </w:r>
      <w:r>
        <w:rPr>
          <w:rFonts w:hint="eastAsia" w:ascii="宋体" w:hAnsi="宋体" w:eastAsia="宋体" w:cs="宋体"/>
          <w:color w:val="auto"/>
          <w:szCs w:val="21"/>
          <w:highlight w:val="none"/>
          <w:lang w:val="en-US" w:eastAsia="zh-CN"/>
        </w:rPr>
        <w:t>有义波</w:t>
      </w:r>
      <w:r>
        <w:rPr>
          <w:rFonts w:hint="eastAsia" w:ascii="宋体" w:hAnsi="宋体" w:eastAsia="宋体" w:cs="宋体"/>
          <w:color w:val="auto"/>
          <w:szCs w:val="21"/>
          <w:highlight w:val="none"/>
        </w:rPr>
        <w:t>高为：h≤0.5m</w:t>
      </w:r>
      <w:r>
        <w:rPr>
          <w:rFonts w:hint="eastAsia" w:ascii="宋体" w:hAnsi="宋体" w:eastAsia="宋体" w:cs="宋体"/>
          <w:color w:val="auto"/>
          <w:szCs w:val="21"/>
          <w:highlight w:val="none"/>
        </w:rPr>
        <w:t>。</w:t>
      </w:r>
      <w:r>
        <w:rPr>
          <w:rFonts w:hint="eastAsia" w:ascii="宋体" w:hAnsi="宋体" w:eastAsia="宋体" w:cs="宋体"/>
          <w:color w:val="000000"/>
          <w:highlight w:val="none"/>
        </w:rPr>
        <w:t>其中某些水域，依据水流湍急情况，又划分出急流航段，即</w:t>
      </w:r>
      <w:r>
        <w:rPr>
          <w:rFonts w:hint="eastAsia" w:ascii="宋体" w:hAnsi="宋体" w:eastAsia="宋体" w:cs="宋体"/>
          <w:color w:val="000000"/>
          <w:highlight w:val="none"/>
        </w:rPr>
        <w:t>J</w:t>
      </w:r>
      <w:r>
        <w:rPr>
          <w:rFonts w:hint="eastAsia" w:ascii="宋体" w:hAnsi="宋体" w:eastAsia="宋体" w:cs="宋体"/>
          <w:color w:val="000000"/>
          <w:highlight w:val="none"/>
        </w:rPr>
        <w:t>级航段。</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答案：</w:t>
      </w:r>
      <w:r>
        <w:rPr>
          <w:rFonts w:hint="eastAsia" w:ascii="宋体" w:hAnsi="宋体" w:eastAsia="宋体" w:cs="宋体"/>
          <w:szCs w:val="21"/>
        </w:rPr>
        <w:t>×</w:t>
      </w:r>
    </w:p>
    <w:p>
      <w:pPr>
        <w:pStyle w:val="9"/>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依据《内河小型渔船法定检验技术规则（2019）》，</w:t>
      </w:r>
      <w:r>
        <w:rPr>
          <w:rFonts w:hint="eastAsia" w:ascii="宋体" w:hAnsi="宋体" w:eastAsia="宋体" w:cs="宋体"/>
          <w:szCs w:val="21"/>
        </w:rPr>
        <w:t>小型渔船系指船长小于12m的渔船。</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答案：√</w:t>
      </w:r>
    </w:p>
    <w:p>
      <w:pPr>
        <w:pStyle w:val="9"/>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依据《内河小型渔船法定检验技术规则（2019）》，</w:t>
      </w:r>
      <w:r>
        <w:rPr>
          <w:rFonts w:hint="eastAsia" w:ascii="宋体" w:hAnsi="宋体" w:eastAsia="宋体" w:cs="宋体"/>
          <w:szCs w:val="21"/>
        </w:rPr>
        <w:t>敞口船系指从船首至船尾具有风雨密的连续露天甲板的船舶。</w:t>
      </w:r>
    </w:p>
    <w:p>
      <w:pPr>
        <w:pStyle w:val="9"/>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答案：×</w:t>
      </w:r>
    </w:p>
    <w:p>
      <w:pPr>
        <w:pStyle w:val="9"/>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依据《内河渔船法定检验技术规则（2019）》，</w:t>
      </w:r>
      <w:r>
        <w:rPr>
          <w:rFonts w:hint="eastAsia" w:ascii="宋体" w:hAnsi="宋体" w:eastAsia="宋体" w:cs="宋体"/>
          <w:szCs w:val="21"/>
        </w:rPr>
        <w:t>船龄系指渔船从其安放龙日期之日起至今的周年数。</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答案：×</w:t>
      </w:r>
    </w:p>
    <w:p>
      <w:pPr>
        <w:pStyle w:val="9"/>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依据《内河渔船法定检验技术规则（2019）》，</w:t>
      </w:r>
      <w:r>
        <w:rPr>
          <w:rFonts w:hint="eastAsia" w:ascii="宋体" w:hAnsi="宋体" w:eastAsia="宋体" w:cs="宋体"/>
          <w:szCs w:val="21"/>
        </w:rPr>
        <w:t>风雨密指在任何海况条件下，水都不会渗过结构</w:t>
      </w:r>
      <w:r>
        <w:rPr>
          <w:rFonts w:hint="eastAsia" w:ascii="宋体" w:hAnsi="宋体" w:eastAsia="宋体" w:cs="宋体"/>
          <w:szCs w:val="21"/>
        </w:rPr>
        <w:t>。</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答案：√</w:t>
      </w:r>
    </w:p>
    <w:p>
      <w:pPr>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依据《内河渔船法定检验技术规则（2019）》，</w:t>
      </w:r>
      <w:r>
        <w:rPr>
          <w:rFonts w:hint="eastAsia" w:ascii="宋体" w:hAnsi="宋体" w:eastAsia="宋体" w:cs="宋体"/>
          <w:szCs w:val="21"/>
        </w:rPr>
        <w:t>水密系指在对该结构进行设计时所取的水压力下，在任何方向水均不能透过该结构。</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答案：√</w:t>
      </w:r>
    </w:p>
    <w:p>
      <w:pPr>
        <w:pStyle w:val="9"/>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依据</w:t>
      </w:r>
      <w:r>
        <w:rPr>
          <w:rFonts w:hint="eastAsia" w:ascii="宋体" w:hAnsi="宋体" w:eastAsia="宋体" w:cs="宋体"/>
          <w:szCs w:val="21"/>
          <w:highlight w:val="none"/>
          <w:lang w:eastAsia="zh-CN"/>
        </w:rPr>
        <w:t>《渔业船舶法定检验技术规则（2002）》，</w:t>
      </w:r>
      <w:r>
        <w:rPr>
          <w:rFonts w:hint="eastAsia" w:ascii="宋体" w:hAnsi="宋体" w:eastAsia="宋体" w:cs="宋体"/>
          <w:szCs w:val="21"/>
          <w:highlight w:val="none"/>
        </w:rPr>
        <w:t>内河船舶横向舱壁的间距一般情况下应不大于舱深的6倍</w:t>
      </w: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主</w:t>
      </w:r>
      <w:r>
        <w:rPr>
          <w:rFonts w:hint="eastAsia" w:ascii="宋体" w:hAnsi="宋体" w:eastAsia="宋体" w:cs="宋体"/>
          <w:szCs w:val="21"/>
          <w:highlight w:val="none"/>
        </w:rPr>
        <w:t>要是从船舶的破舱稳性来考虑的。</w:t>
      </w:r>
    </w:p>
    <w:p>
      <w:pPr>
        <w:pStyle w:val="9"/>
        <w:keepNext w:val="0"/>
        <w:keepLines w:val="0"/>
        <w:pageBreakBefore w:val="0"/>
        <w:widowControl w:val="0"/>
        <w:numPr>
          <w:ilvl w:val="0"/>
          <w:numId w:val="0"/>
        </w:numPr>
        <w:kinsoku/>
        <w:wordWrap/>
        <w:overflowPunct/>
        <w:topLinePunct w:val="0"/>
        <w:autoSpaceDE/>
        <w:autoSpaceDN/>
        <w:bidi w:val="0"/>
        <w:ind w:leftChars="0"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答案：×</w:t>
      </w:r>
    </w:p>
    <w:p>
      <w:pPr>
        <w:pStyle w:val="9"/>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依据《内河小型渔船法定检验技术规则（2019）》，</w:t>
      </w:r>
      <w:r>
        <w:rPr>
          <w:rFonts w:hint="eastAsia" w:ascii="宋体" w:hAnsi="宋体" w:eastAsia="宋体" w:cs="宋体"/>
          <w:szCs w:val="21"/>
        </w:rPr>
        <w:t>船舶在船首和船尾均应设l道水密舱壁，机舱前壁应为水密舱壁</w:t>
      </w:r>
      <w:r>
        <w:rPr>
          <w:rFonts w:hint="eastAsia" w:ascii="宋体" w:hAnsi="宋体" w:eastAsia="宋体" w:cs="宋体"/>
          <w:szCs w:val="21"/>
        </w:rPr>
        <w:t>。</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答案：√</w:t>
      </w:r>
    </w:p>
    <w:p>
      <w:pPr>
        <w:pStyle w:val="9"/>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依据《内河小型渔船法定检验技术规则（2019）》，</w:t>
      </w:r>
      <w:r>
        <w:rPr>
          <w:rFonts w:hint="eastAsia" w:ascii="宋体" w:hAnsi="宋体" w:eastAsia="宋体" w:cs="宋体"/>
          <w:szCs w:val="21"/>
        </w:rPr>
        <w:t>防撞舱壁应在距艏垂线(0.1</w:t>
      </w:r>
      <w:r>
        <w:rPr>
          <w:rFonts w:hint="eastAsia" w:ascii="宋体" w:hAnsi="宋体" w:eastAsia="宋体" w:cs="宋体"/>
          <w:i/>
          <w:szCs w:val="21"/>
        </w:rPr>
        <w:t>L</w:t>
      </w:r>
      <w:r>
        <w:rPr>
          <w:rFonts w:hint="eastAsia" w:ascii="宋体" w:hAnsi="宋体" w:eastAsia="宋体" w:cs="宋体"/>
          <w:szCs w:val="21"/>
        </w:rPr>
        <w:t>～2m)范围内合理设置</w:t>
      </w:r>
      <w:r>
        <w:rPr>
          <w:rFonts w:hint="eastAsia" w:ascii="宋体" w:hAnsi="宋体" w:eastAsia="宋体" w:cs="宋体"/>
          <w:szCs w:val="21"/>
        </w:rPr>
        <w:t>。</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答案：√</w:t>
      </w:r>
    </w:p>
    <w:p>
      <w:pPr>
        <w:pStyle w:val="9"/>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color w:val="auto"/>
          <w:szCs w:val="21"/>
        </w:rPr>
      </w:pPr>
      <w:r>
        <w:rPr>
          <w:rFonts w:hint="eastAsia" w:ascii="宋体" w:hAnsi="宋体" w:eastAsia="宋体" w:cs="宋体"/>
          <w:color w:val="auto"/>
          <w:szCs w:val="21"/>
        </w:rPr>
        <w:t>依据《内河小型渔船法定检验技术规则（2019）》，</w:t>
      </w:r>
      <w:r>
        <w:rPr>
          <w:rFonts w:hint="eastAsia" w:ascii="宋体" w:hAnsi="宋体" w:eastAsia="宋体" w:cs="宋体"/>
          <w:color w:val="auto"/>
          <w:szCs w:val="21"/>
        </w:rPr>
        <w:t>对无稳性资料的现有船舶，可按</w:t>
      </w:r>
      <w:r>
        <w:rPr>
          <w:rFonts w:hint="eastAsia" w:ascii="宋体" w:hAnsi="宋体" w:eastAsia="宋体" w:cs="宋体"/>
          <w:color w:val="auto"/>
          <w:szCs w:val="21"/>
          <w:lang w:val="en-US" w:eastAsia="zh-CN"/>
        </w:rPr>
        <w:t>本规则</w:t>
      </w:r>
      <w:r>
        <w:rPr>
          <w:rFonts w:hint="eastAsia" w:ascii="宋体" w:hAnsi="宋体" w:eastAsia="宋体" w:cs="宋体"/>
          <w:color w:val="auto"/>
          <w:szCs w:val="21"/>
        </w:rPr>
        <w:t>简易衡准方法校核稳性</w:t>
      </w:r>
      <w:r>
        <w:rPr>
          <w:rFonts w:hint="eastAsia" w:ascii="宋体" w:hAnsi="宋体" w:eastAsia="宋体" w:cs="宋体"/>
          <w:color w:val="auto"/>
          <w:szCs w:val="21"/>
          <w:lang w:eastAsia="zh-CN"/>
        </w:rPr>
        <w:t>。</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答案：√</w:t>
      </w:r>
    </w:p>
    <w:p>
      <w:pPr>
        <w:pStyle w:val="9"/>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依据《内河小型渔船法定检验技术规则（2019）》，</w:t>
      </w:r>
      <w:r>
        <w:rPr>
          <w:rFonts w:hint="eastAsia" w:ascii="宋体" w:hAnsi="宋体" w:eastAsia="宋体" w:cs="宋体"/>
          <w:szCs w:val="21"/>
        </w:rPr>
        <w:t>船长10</w:t>
      </w:r>
      <w:r>
        <w:rPr>
          <w:rFonts w:hint="eastAsia" w:ascii="宋体" w:hAnsi="宋体" w:eastAsia="宋体" w:cs="宋体"/>
          <w:szCs w:val="21"/>
          <w:lang w:val="en-US" w:eastAsia="zh-CN"/>
        </w:rPr>
        <w:t>.00</w:t>
      </w:r>
      <w:r>
        <w:rPr>
          <w:rFonts w:hint="eastAsia" w:ascii="宋体" w:hAnsi="宋体" w:eastAsia="宋体" w:cs="宋体"/>
          <w:szCs w:val="21"/>
        </w:rPr>
        <w:t>m的钢质渔船，由于船体较小，船体布置困难，可以不设置水密防撞舱壁。</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答案：×</w:t>
      </w:r>
    </w:p>
    <w:p>
      <w:pPr>
        <w:pStyle w:val="9"/>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依据《内河渔船法定检验技术规则（2019）》，</w:t>
      </w:r>
      <w:r>
        <w:rPr>
          <w:rFonts w:hint="eastAsia" w:ascii="宋体" w:hAnsi="宋体" w:eastAsia="宋体" w:cs="宋体"/>
          <w:szCs w:val="21"/>
        </w:rPr>
        <w:t>如按载重线规定核定的干舷与船舶强度、完整稳性所确定的干舷不一致时，应取其较大者</w:t>
      </w:r>
      <w:r>
        <w:rPr>
          <w:rFonts w:hint="eastAsia" w:ascii="宋体" w:hAnsi="宋体" w:eastAsia="宋体" w:cs="宋体"/>
          <w:szCs w:val="21"/>
        </w:rPr>
        <w:t>。</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答案：√</w:t>
      </w:r>
    </w:p>
    <w:p>
      <w:pPr>
        <w:pStyle w:val="9"/>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依据《内河小型渔船法定检验技术规则（2019）》，</w:t>
      </w:r>
      <w:r>
        <w:rPr>
          <w:rFonts w:hint="eastAsia" w:ascii="宋体" w:hAnsi="宋体" w:eastAsia="宋体" w:cs="宋体"/>
          <w:szCs w:val="21"/>
        </w:rPr>
        <w:t>小型渔船的机舱前、后舱壁应为水密舱壁。</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答案：×</w:t>
      </w:r>
    </w:p>
    <w:p>
      <w:pPr>
        <w:pStyle w:val="9"/>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依据《内河渔船法定检验技术规则（2019）》，</w:t>
      </w:r>
      <w:r>
        <w:rPr>
          <w:rFonts w:hint="eastAsia" w:ascii="宋体" w:hAnsi="宋体" w:eastAsia="宋体" w:cs="宋体"/>
          <w:szCs w:val="21"/>
        </w:rPr>
        <w:t>渔船每舷的连续舷艢上都应开有排水舷口，其总面积应不小于该连续舷墙面积的</w:t>
      </w:r>
      <w:r>
        <w:rPr>
          <w:rFonts w:hint="eastAsia" w:ascii="宋体" w:hAnsi="宋体" w:eastAsia="宋体" w:cs="宋体"/>
          <w:szCs w:val="21"/>
        </w:rPr>
        <w:t>5</w:t>
      </w:r>
      <w:r>
        <w:rPr>
          <w:rFonts w:hint="eastAsia" w:ascii="宋体" w:hAnsi="宋体" w:eastAsia="宋体" w:cs="宋体"/>
          <w:szCs w:val="21"/>
        </w:rPr>
        <w:t>%。</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答案：√</w:t>
      </w:r>
    </w:p>
    <w:p>
      <w:pPr>
        <w:pStyle w:val="9"/>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依据《内河小型渔船法定检验技术规则（2019）》，</w:t>
      </w:r>
      <w:r>
        <w:rPr>
          <w:rFonts w:hint="eastAsia" w:ascii="宋体" w:hAnsi="宋体" w:eastAsia="宋体" w:cs="宋体"/>
          <w:szCs w:val="21"/>
        </w:rPr>
        <w:t>船舶装载时的吃水应不超过勘定的航区载重线的下缘。</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答案：×</w:t>
      </w:r>
    </w:p>
    <w:p>
      <w:pPr>
        <w:pStyle w:val="9"/>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依据《内河渔船法定检验技术规则（2019）》，</w:t>
      </w:r>
      <w:r>
        <w:rPr>
          <w:rFonts w:hint="eastAsia" w:ascii="宋体" w:hAnsi="宋体" w:eastAsia="宋体" w:cs="宋体"/>
          <w:szCs w:val="21"/>
        </w:rPr>
        <w:t>船长小于24m的渔船，可免予勘划圆环。</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答案：√</w:t>
      </w:r>
    </w:p>
    <w:p>
      <w:pPr>
        <w:pStyle w:val="9"/>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依据《内河渔船法定检验技术规则（2019）》，</w:t>
      </w:r>
      <w:r>
        <w:rPr>
          <w:rFonts w:hint="eastAsia" w:ascii="宋体" w:hAnsi="宋体" w:eastAsia="宋体" w:cs="宋体"/>
          <w:szCs w:val="21"/>
        </w:rPr>
        <w:t>船长小于24m的渔船，可免予勘划载重线标志</w:t>
      </w:r>
      <w:r>
        <w:rPr>
          <w:rFonts w:hint="eastAsia" w:ascii="宋体" w:hAnsi="宋体" w:eastAsia="宋体" w:cs="宋体"/>
          <w:szCs w:val="21"/>
        </w:rPr>
        <w:t>。</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答案：×</w:t>
      </w:r>
    </w:p>
    <w:p>
      <w:pPr>
        <w:pStyle w:val="9"/>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依据《内河渔船法定检验技术规则（2019）》，</w:t>
      </w:r>
      <w:r>
        <w:rPr>
          <w:rFonts w:hint="eastAsia" w:ascii="宋体" w:hAnsi="宋体" w:eastAsia="宋体" w:cs="宋体"/>
          <w:szCs w:val="21"/>
          <w:lang w:val="en-US" w:eastAsia="zh-CN"/>
        </w:rPr>
        <w:t>载重线</w:t>
      </w:r>
      <w:r>
        <w:rPr>
          <w:rFonts w:hint="eastAsia" w:ascii="宋体" w:hAnsi="宋体" w:eastAsia="宋体" w:cs="宋体"/>
          <w:szCs w:val="21"/>
        </w:rPr>
        <w:t>标志</w:t>
      </w:r>
      <w:r>
        <w:rPr>
          <w:rFonts w:hint="eastAsia" w:ascii="宋体" w:hAnsi="宋体" w:eastAsia="宋体" w:cs="宋体"/>
          <w:szCs w:val="21"/>
          <w:lang w:val="en-US" w:eastAsia="zh-CN"/>
        </w:rPr>
        <w:t>的圆圈外径4</w:t>
      </w:r>
      <w:r>
        <w:rPr>
          <w:rFonts w:hint="eastAsia" w:ascii="宋体" w:hAnsi="宋体" w:eastAsia="宋体" w:cs="宋体"/>
          <w:szCs w:val="21"/>
        </w:rPr>
        <w:t>00mm</w:t>
      </w:r>
      <w:r>
        <w:rPr>
          <w:rFonts w:hint="eastAsia" w:ascii="宋体" w:hAnsi="宋体" w:eastAsia="宋体" w:cs="宋体"/>
          <w:szCs w:val="21"/>
        </w:rPr>
        <w:t>。</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答案：</w:t>
      </w:r>
      <w:r>
        <w:rPr>
          <w:rFonts w:hint="eastAsia" w:ascii="宋体" w:hAnsi="宋体" w:eastAsia="宋体" w:cs="宋体"/>
          <w:color w:val="auto"/>
          <w:szCs w:val="21"/>
        </w:rPr>
        <w:t>×</w:t>
      </w:r>
    </w:p>
    <w:p>
      <w:pPr>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依据《内河小型渔船法定检验技术规则（2019）》，</w:t>
      </w:r>
      <w:r>
        <w:rPr>
          <w:rFonts w:hint="eastAsia" w:ascii="宋体" w:hAnsi="宋体" w:eastAsia="宋体" w:cs="宋体"/>
          <w:szCs w:val="21"/>
        </w:rPr>
        <w:t>船舶的两舷均应设置舷墙、栏杆或其他有效的防护设施</w:t>
      </w:r>
      <w:r>
        <w:rPr>
          <w:rFonts w:hint="eastAsia" w:ascii="宋体" w:hAnsi="宋体" w:eastAsia="宋体" w:cs="宋体"/>
          <w:szCs w:val="21"/>
        </w:rPr>
        <w:t>。</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答案：√</w:t>
      </w:r>
    </w:p>
    <w:p>
      <w:pPr>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依据《内河小型渔船法定检验技术规则（2019）》，</w:t>
      </w:r>
      <w:r>
        <w:rPr>
          <w:rFonts w:hint="eastAsia" w:ascii="宋体" w:hAnsi="宋体" w:eastAsia="宋体" w:cs="宋体"/>
          <w:color w:val="auto"/>
          <w:szCs w:val="21"/>
          <w:highlight w:val="none"/>
        </w:rPr>
        <w:t>船舶应配备锚泊设备</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color w:val="auto"/>
          <w:szCs w:val="21"/>
        </w:rPr>
      </w:pPr>
      <w:r>
        <w:rPr>
          <w:rFonts w:hint="eastAsia" w:ascii="宋体" w:hAnsi="宋体" w:eastAsia="宋体" w:cs="宋体"/>
          <w:color w:val="auto"/>
          <w:szCs w:val="21"/>
        </w:rPr>
        <w:t>答案：×</w:t>
      </w:r>
    </w:p>
    <w:p>
      <w:pPr>
        <w:pStyle w:val="9"/>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依据《内河渔船法定检验技术规则（2019）》，</w:t>
      </w:r>
      <w:r>
        <w:rPr>
          <w:rFonts w:hint="eastAsia" w:ascii="宋体" w:hAnsi="宋体" w:eastAsia="宋体" w:cs="宋体"/>
          <w:szCs w:val="21"/>
        </w:rPr>
        <w:t>通风筒应备有帆布袋类可靠的风雨密关闭装置</w:t>
      </w:r>
      <w:r>
        <w:rPr>
          <w:rFonts w:hint="eastAsia" w:ascii="宋体" w:hAnsi="宋体" w:eastAsia="宋体" w:cs="宋体"/>
          <w:szCs w:val="21"/>
        </w:rPr>
        <w:t>。</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答案：√</w:t>
      </w:r>
    </w:p>
    <w:p>
      <w:pPr>
        <w:pStyle w:val="9"/>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依据《内河渔船法定检验技术规则（2019）》，</w:t>
      </w:r>
      <w:r>
        <w:rPr>
          <w:rFonts w:hint="eastAsia" w:ascii="宋体" w:hAnsi="宋体" w:eastAsia="宋体" w:cs="宋体"/>
          <w:szCs w:val="21"/>
        </w:rPr>
        <w:t>A级、B级航区的空气管应有适宜的关闭装置</w:t>
      </w:r>
      <w:r>
        <w:rPr>
          <w:rFonts w:hint="eastAsia" w:ascii="宋体" w:hAnsi="宋体" w:eastAsia="宋体" w:cs="宋体"/>
          <w:szCs w:val="21"/>
        </w:rPr>
        <w:t>。</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答案：×</w:t>
      </w:r>
    </w:p>
    <w:p>
      <w:pPr>
        <w:pStyle w:val="9"/>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color w:val="auto"/>
          <w:szCs w:val="21"/>
        </w:rPr>
      </w:pPr>
      <w:r>
        <w:rPr>
          <w:rFonts w:hint="eastAsia" w:ascii="宋体" w:hAnsi="宋体" w:eastAsia="宋体" w:cs="宋体"/>
          <w:color w:val="auto"/>
          <w:szCs w:val="21"/>
        </w:rPr>
        <w:t>依据《内河渔船法定检验技术规则（2019）》，</w:t>
      </w:r>
      <w:r>
        <w:rPr>
          <w:rFonts w:hint="eastAsia" w:ascii="宋体" w:hAnsi="宋体" w:eastAsia="宋体" w:cs="宋体"/>
          <w:color w:val="auto"/>
          <w:szCs w:val="21"/>
        </w:rPr>
        <w:t>木质渔船如勘划有困难，可免于勘划水尺标志。</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color w:val="auto"/>
          <w:szCs w:val="21"/>
        </w:rPr>
      </w:pPr>
      <w:r>
        <w:rPr>
          <w:rFonts w:hint="eastAsia" w:ascii="宋体" w:hAnsi="宋体" w:eastAsia="宋体" w:cs="宋体"/>
          <w:color w:val="auto"/>
          <w:szCs w:val="21"/>
        </w:rPr>
        <w:t>答案：√</w:t>
      </w:r>
    </w:p>
    <w:p>
      <w:pPr>
        <w:pStyle w:val="9"/>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依据《内河渔船法定检验技术规则（2019）》，</w:t>
      </w:r>
      <w:r>
        <w:rPr>
          <w:rFonts w:hint="eastAsia" w:ascii="宋体" w:hAnsi="宋体" w:eastAsia="宋体" w:cs="宋体"/>
          <w:szCs w:val="21"/>
        </w:rPr>
        <w:t>水尺标志横标线的间距应不超过</w:t>
      </w:r>
      <w:r>
        <w:rPr>
          <w:rFonts w:hint="eastAsia" w:ascii="宋体" w:hAnsi="宋体" w:eastAsia="宋体" w:cs="宋体"/>
          <w:szCs w:val="21"/>
        </w:rPr>
        <w:t>2</w:t>
      </w:r>
      <w:r>
        <w:rPr>
          <w:rFonts w:hint="eastAsia" w:ascii="宋体" w:hAnsi="宋体" w:eastAsia="宋体" w:cs="宋体"/>
          <w:szCs w:val="21"/>
        </w:rPr>
        <w:t>00mm</w:t>
      </w:r>
      <w:r>
        <w:rPr>
          <w:rFonts w:hint="eastAsia" w:ascii="宋体" w:hAnsi="宋体" w:eastAsia="宋体" w:cs="宋体"/>
          <w:szCs w:val="21"/>
        </w:rPr>
        <w:t>。</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答案：×</w:t>
      </w:r>
    </w:p>
    <w:p>
      <w:pPr>
        <w:pStyle w:val="9"/>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依据《内河渔船法定检验技术规则（2019）》，</w:t>
      </w:r>
      <w:r>
        <w:rPr>
          <w:rFonts w:hint="eastAsia" w:ascii="宋体" w:hAnsi="宋体" w:eastAsia="宋体" w:cs="宋体"/>
          <w:szCs w:val="21"/>
        </w:rPr>
        <w:t>防撞舱壁系指在艏部通至干舷甲板的第一道水密舱壁。</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答案：√</w:t>
      </w:r>
    </w:p>
    <w:p>
      <w:pPr>
        <w:pStyle w:val="9"/>
        <w:keepNext w:val="0"/>
        <w:keepLines w:val="0"/>
        <w:pageBreakBefore w:val="0"/>
        <w:widowControl w:val="0"/>
        <w:numPr>
          <w:ilvl w:val="0"/>
          <w:numId w:val="1"/>
        </w:numPr>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依据《内河渔船法定检验技术规则（2019）》，</w:t>
      </w:r>
      <w:r>
        <w:rPr>
          <w:rFonts w:hint="eastAsia" w:ascii="宋体" w:hAnsi="宋体" w:eastAsia="宋体" w:cs="宋体"/>
          <w:szCs w:val="21"/>
        </w:rPr>
        <w:t>船长小于2</w:t>
      </w:r>
      <w:r>
        <w:rPr>
          <w:rFonts w:hint="eastAsia" w:ascii="宋体" w:hAnsi="宋体" w:eastAsia="宋体" w:cs="宋体"/>
          <w:szCs w:val="21"/>
        </w:rPr>
        <w:t>4</w:t>
      </w:r>
      <w:r>
        <w:rPr>
          <w:rFonts w:hint="eastAsia" w:ascii="宋体" w:hAnsi="宋体" w:eastAsia="宋体" w:cs="宋体"/>
          <w:szCs w:val="21"/>
        </w:rPr>
        <w:t>m的渔船，至少应进行摇摆试验，以测定空船的横摇固有周期</w:t>
      </w:r>
      <w:r>
        <w:rPr>
          <w:rFonts w:hint="eastAsia" w:ascii="宋体" w:hAnsi="宋体" w:eastAsia="宋体" w:cs="宋体"/>
          <w:szCs w:val="21"/>
        </w:rPr>
        <w:t>。</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szCs w:val="21"/>
        </w:rPr>
      </w:pPr>
      <w:r>
        <w:rPr>
          <w:rFonts w:hint="eastAsia" w:ascii="宋体" w:hAnsi="宋体" w:eastAsia="宋体" w:cs="宋体"/>
          <w:szCs w:val="21"/>
        </w:rPr>
        <w:t>答案：×</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bCs/>
          <w:color w:val="auto"/>
          <w:szCs w:val="21"/>
        </w:rPr>
      </w:pPr>
      <w:r>
        <w:rPr>
          <w:rFonts w:hint="eastAsia" w:ascii="宋体" w:hAnsi="宋体" w:eastAsia="宋体" w:cs="宋体"/>
          <w:bCs/>
          <w:color w:val="auto"/>
          <w:szCs w:val="21"/>
        </w:rPr>
        <w:t>依据《内河小型渔船法定检验技术规则（</w:t>
      </w:r>
      <w:r>
        <w:rPr>
          <w:rFonts w:hint="eastAsia" w:ascii="宋体" w:hAnsi="宋体" w:eastAsia="宋体" w:cs="宋体"/>
          <w:bCs/>
          <w:color w:val="auto"/>
          <w:szCs w:val="21"/>
        </w:rPr>
        <w:t>2019</w:t>
      </w:r>
      <w:r>
        <w:rPr>
          <w:rFonts w:hint="eastAsia" w:ascii="宋体" w:hAnsi="宋体" w:eastAsia="宋体" w:cs="宋体"/>
          <w:bCs/>
          <w:color w:val="auto"/>
          <w:szCs w:val="21"/>
        </w:rPr>
        <w:t>）》，船长小于12m的内河渔船至少应配置2个救生圈。</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color w:val="auto"/>
          <w:szCs w:val="21"/>
        </w:rPr>
      </w:pPr>
      <w:r>
        <w:rPr>
          <w:rFonts w:hint="eastAsia" w:ascii="宋体" w:hAnsi="宋体" w:eastAsia="宋体" w:cs="宋体"/>
          <w:color w:val="auto"/>
          <w:szCs w:val="21"/>
        </w:rPr>
        <w:t>答案：</w:t>
      </w:r>
      <w:r>
        <w:rPr>
          <w:rFonts w:hint="eastAsia" w:ascii="宋体" w:hAnsi="宋体" w:eastAsia="宋体" w:cs="宋体"/>
          <w:color w:val="auto"/>
          <w:szCs w:val="21"/>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bCs/>
          <w:color w:val="auto"/>
          <w:szCs w:val="21"/>
        </w:rPr>
      </w:pPr>
      <w:r>
        <w:rPr>
          <w:rFonts w:hint="eastAsia" w:ascii="宋体" w:hAnsi="宋体" w:eastAsia="宋体" w:cs="宋体"/>
          <w:bCs/>
          <w:color w:val="auto"/>
          <w:szCs w:val="21"/>
        </w:rPr>
        <w:t>依据《内河小型渔船法定检验技术规则（</w:t>
      </w:r>
      <w:r>
        <w:rPr>
          <w:rFonts w:hint="eastAsia" w:ascii="宋体" w:hAnsi="宋体" w:eastAsia="宋体" w:cs="宋体"/>
          <w:bCs/>
          <w:color w:val="auto"/>
          <w:szCs w:val="21"/>
        </w:rPr>
        <w:t>2019</w:t>
      </w:r>
      <w:r>
        <w:rPr>
          <w:rFonts w:hint="eastAsia" w:ascii="宋体" w:hAnsi="宋体" w:eastAsia="宋体" w:cs="宋体"/>
          <w:bCs/>
          <w:color w:val="auto"/>
          <w:szCs w:val="21"/>
        </w:rPr>
        <w:t>）》，船长小于12m的内河渔船，每人应至少配备</w:t>
      </w:r>
      <w:r>
        <w:rPr>
          <w:rFonts w:hint="eastAsia" w:ascii="宋体" w:hAnsi="宋体" w:eastAsia="宋体" w:cs="宋体"/>
          <w:bCs/>
          <w:color w:val="auto"/>
          <w:szCs w:val="21"/>
        </w:rPr>
        <w:t>1</w:t>
      </w:r>
      <w:r>
        <w:rPr>
          <w:rFonts w:hint="eastAsia" w:ascii="宋体" w:hAnsi="宋体" w:eastAsia="宋体" w:cs="宋体"/>
          <w:bCs/>
          <w:color w:val="auto"/>
          <w:szCs w:val="21"/>
        </w:rPr>
        <w:t>件工作救生衣。</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宋体" w:hAnsi="宋体" w:eastAsia="宋体" w:cs="宋体"/>
          <w:color w:val="auto"/>
          <w:szCs w:val="21"/>
        </w:rPr>
      </w:pPr>
      <w:r>
        <w:rPr>
          <w:rFonts w:hint="eastAsia" w:ascii="宋体" w:hAnsi="宋体" w:eastAsia="宋体" w:cs="宋体"/>
          <w:color w:val="auto"/>
          <w:szCs w:val="21"/>
        </w:rPr>
        <w:t>答案：</w:t>
      </w:r>
      <w:r>
        <w:rPr>
          <w:rFonts w:hint="eastAsia" w:ascii="宋体" w:hAnsi="宋体" w:eastAsia="宋体" w:cs="宋体"/>
          <w:color w:val="auto"/>
          <w:szCs w:val="21"/>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snapToGrid w:val="0"/>
          <w:spacing w:val="0"/>
          <w:kern w:val="24"/>
          <w:sz w:val="21"/>
          <w:szCs w:val="21"/>
          <w:highlight w:val="none"/>
          <w:lang w:val="en-US" w:eastAsia="zh-CN"/>
        </w:rPr>
      </w:pPr>
      <w:r>
        <w:rPr>
          <w:rFonts w:hint="eastAsia" w:ascii="宋体" w:hAnsi="宋体" w:eastAsia="宋体" w:cs="宋体"/>
          <w:snapToGrid w:val="0"/>
          <w:spacing w:val="0"/>
          <w:kern w:val="24"/>
          <w:sz w:val="21"/>
          <w:szCs w:val="21"/>
          <w:highlight w:val="none"/>
          <w:lang w:val="en-US" w:eastAsia="zh-CN"/>
        </w:rPr>
        <w:t>依据《渔业船舶船用产品检验管理规定》（农渔检（产）〔2014〕1号），渔船船用产品检验及其监督管理工作遵行安全第一、防止污染、保证质量、高效便民的原则。（√）（渔业船舶产品管理规定2014年1号，第4条）</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snapToGrid w:val="0"/>
          <w:spacing w:val="0"/>
          <w:kern w:val="24"/>
          <w:sz w:val="21"/>
          <w:szCs w:val="21"/>
          <w:highlight w:val="none"/>
          <w:lang w:val="en-US" w:eastAsia="zh-CN"/>
        </w:rPr>
      </w:pPr>
      <w:r>
        <w:rPr>
          <w:rFonts w:hint="eastAsia" w:ascii="宋体" w:hAnsi="宋体" w:eastAsia="宋体" w:cs="宋体"/>
          <w:snapToGrid w:val="0"/>
          <w:spacing w:val="0"/>
          <w:kern w:val="24"/>
          <w:sz w:val="21"/>
          <w:szCs w:val="21"/>
          <w:highlight w:val="none"/>
          <w:lang w:val="en-US" w:eastAsia="zh-CN"/>
        </w:rPr>
        <w:t xml:space="preserve">依据《渔业船舶船用产品检验管理规定》（农渔检（产）〔2014〕1号），船用产品装船使用时，渔船检验机构应查验其船用产品证书或产品合格证及检验合格章、检验标识或防伪标识，无渔船船用产品证书或产品合格证未加盖检验合格章的，不得装船期使用。（√）（渔业船舶产品管理规定2014年1号，第6条（四）） </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snapToGrid w:val="0"/>
          <w:spacing w:val="0"/>
          <w:kern w:val="24"/>
          <w:sz w:val="21"/>
          <w:szCs w:val="21"/>
          <w:highlight w:val="none"/>
          <w:lang w:val="en-US" w:eastAsia="zh-CN"/>
        </w:rPr>
      </w:pPr>
      <w:r>
        <w:rPr>
          <w:rFonts w:hint="eastAsia" w:ascii="宋体" w:hAnsi="宋体" w:eastAsia="宋体" w:cs="宋体"/>
          <w:snapToGrid w:val="0"/>
          <w:spacing w:val="0"/>
          <w:kern w:val="24"/>
          <w:sz w:val="21"/>
          <w:szCs w:val="21"/>
          <w:highlight w:val="none"/>
          <w:lang w:val="en-US" w:eastAsia="zh-CN"/>
        </w:rPr>
        <w:t>依据《渔业船舶船用产品检验管理规定》（农渔检（产）〔2014〕1号），B类产品是指渔船检验机构认可，并经检验合格后签发产品证书，方可装船使用的产品。（×）</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snapToGrid w:val="0"/>
          <w:spacing w:val="0"/>
          <w:kern w:val="24"/>
          <w:sz w:val="21"/>
          <w:szCs w:val="21"/>
          <w:highlight w:val="none"/>
          <w:lang w:val="en-US" w:eastAsia="zh-CN"/>
        </w:rPr>
      </w:pPr>
      <w:r>
        <w:rPr>
          <w:rFonts w:hint="eastAsia" w:ascii="宋体" w:hAnsi="宋体" w:eastAsia="宋体" w:cs="宋体"/>
          <w:snapToGrid w:val="0"/>
          <w:spacing w:val="0"/>
          <w:kern w:val="24"/>
          <w:sz w:val="21"/>
          <w:szCs w:val="21"/>
          <w:highlight w:val="none"/>
          <w:lang w:val="en-US" w:eastAsia="zh-CN"/>
        </w:rPr>
        <w:t>依据《渔业船舶船用产品检验管理规定》（农渔检（产）〔2014〕1号），空气瓶属于C类产品。（×）（渔业船舶产品管理规定2014年1号，第5条（二））</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snapToGrid w:val="0"/>
          <w:spacing w:val="0"/>
          <w:kern w:val="24"/>
          <w:sz w:val="21"/>
          <w:szCs w:val="21"/>
          <w:highlight w:val="none"/>
          <w:lang w:val="en-US" w:eastAsia="zh-CN"/>
        </w:rPr>
      </w:pPr>
      <w:r>
        <w:rPr>
          <w:rFonts w:hint="eastAsia" w:ascii="宋体" w:hAnsi="宋体" w:eastAsia="宋体" w:cs="宋体"/>
          <w:snapToGrid w:val="0"/>
          <w:spacing w:val="0"/>
          <w:kern w:val="24"/>
          <w:sz w:val="21"/>
          <w:szCs w:val="21"/>
          <w:highlight w:val="none"/>
          <w:lang w:val="en-US" w:eastAsia="zh-CN"/>
        </w:rPr>
        <w:t>依据《内河小型渔船法定检验技术规则（2019）》，内河小型渔船上配备的救生衣可以是工作救生衣。（√）（命题依据：依据《内河小型渔船法定检验技术规则（2019）》第五章5.2.2.2）</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snapToGrid w:val="0"/>
          <w:spacing w:val="0"/>
          <w:kern w:val="24"/>
          <w:sz w:val="21"/>
          <w:szCs w:val="21"/>
          <w:highlight w:val="none"/>
          <w:lang w:val="en-US" w:eastAsia="zh-CN"/>
        </w:rPr>
      </w:pPr>
      <w:r>
        <w:rPr>
          <w:rFonts w:hint="eastAsia" w:ascii="宋体" w:hAnsi="宋体" w:eastAsia="宋体" w:cs="宋体"/>
          <w:snapToGrid w:val="0"/>
          <w:spacing w:val="0"/>
          <w:kern w:val="24"/>
          <w:sz w:val="21"/>
          <w:szCs w:val="21"/>
          <w:highlight w:val="none"/>
          <w:lang w:val="en-US" w:eastAsia="zh-CN"/>
        </w:rPr>
        <w:t>依据《内河小型渔船法定检验技术规则（2019）》，在显示号灯的时间内，凡是可能与规定号灯相混淆或者减弱其显示性能的灯光，只能短暂显示。（×）（命题依据：依据《内河小型渔船法定检验技术规则（2019）》第五章5.4.3.1）</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snapToGrid w:val="0"/>
          <w:spacing w:val="0"/>
          <w:kern w:val="24"/>
          <w:sz w:val="21"/>
          <w:szCs w:val="21"/>
          <w:highlight w:val="none"/>
          <w:lang w:val="en-US" w:eastAsia="zh-CN"/>
        </w:rPr>
      </w:pPr>
      <w:r>
        <w:rPr>
          <w:rFonts w:hint="eastAsia" w:ascii="宋体" w:hAnsi="宋体" w:eastAsia="宋体" w:cs="宋体"/>
          <w:snapToGrid w:val="0"/>
          <w:spacing w:val="0"/>
          <w:kern w:val="24"/>
          <w:sz w:val="21"/>
          <w:szCs w:val="21"/>
          <w:highlight w:val="none"/>
          <w:lang w:val="en-US" w:eastAsia="zh-CN"/>
        </w:rPr>
        <w:t>依据《内河小型渔船法定检验技术规则（2019）》，船舶可以配置1台收音机作为航行安全信息接收装置。（√）（命题依据：依据《内河小型渔船法定检验技术规则（2019）》第五章表5.5.2.2）</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snapToGrid w:val="0"/>
          <w:spacing w:val="0"/>
          <w:kern w:val="24"/>
          <w:sz w:val="21"/>
          <w:szCs w:val="21"/>
          <w:highlight w:val="none"/>
          <w:lang w:val="en-US" w:eastAsia="zh-CN"/>
        </w:rPr>
      </w:pPr>
      <w:r>
        <w:rPr>
          <w:rFonts w:hint="eastAsia" w:ascii="宋体" w:hAnsi="宋体" w:eastAsia="宋体" w:cs="宋体"/>
          <w:snapToGrid w:val="0"/>
          <w:spacing w:val="0"/>
          <w:kern w:val="24"/>
          <w:sz w:val="21"/>
          <w:szCs w:val="21"/>
          <w:highlight w:val="none"/>
          <w:lang w:val="en-US" w:eastAsia="zh-CN"/>
        </w:rPr>
        <w:t>依据《内河小型渔船法定检验技术规则（2019）》，总长小于12m船舶的号灯，可以用相同色罩的马灯或手电筒代替，但应保持灯光明亮，颜色清晰分明。（√）（命题依据：依据《内河小型渔船法定检验技术规则（2019）》第五章5.4.3.4）</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snapToGrid w:val="0"/>
          <w:spacing w:val="0"/>
          <w:kern w:val="24"/>
          <w:sz w:val="21"/>
          <w:szCs w:val="21"/>
          <w:highlight w:val="none"/>
          <w:lang w:val="en-US" w:eastAsia="zh-CN"/>
        </w:rPr>
      </w:pPr>
      <w:r>
        <w:rPr>
          <w:rFonts w:hint="eastAsia" w:ascii="宋体" w:hAnsi="宋体" w:eastAsia="宋体" w:cs="宋体"/>
          <w:snapToGrid w:val="0"/>
          <w:spacing w:val="0"/>
          <w:kern w:val="24"/>
          <w:sz w:val="21"/>
          <w:szCs w:val="21"/>
          <w:highlight w:val="none"/>
          <w:lang w:val="en-US" w:eastAsia="zh-CN"/>
        </w:rPr>
        <w:t>依据《内河小型渔船法定检验技术规则（2019）》，可携式无线电通信装置应至少另配一组备用电池，其容量可以略小于原电池。（×）（命题依据：依据《内河小型渔船法定检验技术规则（2019）》第五章表5.5.3.2）</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sz w:val="21"/>
          <w:szCs w:val="21"/>
        </w:rPr>
      </w:pPr>
      <w:r>
        <w:rPr>
          <w:rFonts w:hint="eastAsia" w:ascii="宋体" w:hAnsi="宋体" w:eastAsia="宋体" w:cs="宋体"/>
          <w:snapToGrid w:val="0"/>
          <w:spacing w:val="0"/>
          <w:kern w:val="24"/>
          <w:sz w:val="21"/>
          <w:szCs w:val="21"/>
          <w:highlight w:val="none"/>
          <w:lang w:val="en-US" w:eastAsia="zh-CN"/>
        </w:rPr>
        <w:t>依据《内河小型渔船法定检验技术规则（2019）》，可降解的生活垃圾可以抛入水中。（×）（命题依据：依据《内河小型渔船法定检验技术规则（2019）》第五章5.6.2.3）</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依据</w:t>
      </w:r>
      <w:r>
        <w:rPr>
          <w:rFonts w:hint="eastAsia" w:ascii="宋体" w:hAnsi="宋体" w:eastAsia="宋体" w:cs="宋体"/>
          <w:bCs/>
          <w:sz w:val="21"/>
          <w:szCs w:val="21"/>
        </w:rPr>
        <w:t>《内河渔船法定检验技术规则（2019）》</w:t>
      </w:r>
      <w:r>
        <w:rPr>
          <w:rFonts w:hint="eastAsia" w:ascii="宋体" w:hAnsi="宋体" w:eastAsia="宋体" w:cs="宋体"/>
          <w:sz w:val="21"/>
          <w:szCs w:val="21"/>
        </w:rPr>
        <w:t>，2021年1月开</w:t>
      </w:r>
      <w:r>
        <w:rPr>
          <w:rFonts w:hint="eastAsia" w:ascii="宋体" w:hAnsi="宋体" w:eastAsia="宋体" w:cs="宋体"/>
          <w:sz w:val="21"/>
          <w:szCs w:val="21"/>
          <w:lang w:val="en-US" w:eastAsia="zh-CN"/>
        </w:rPr>
        <w:t>工</w:t>
      </w:r>
      <w:r>
        <w:rPr>
          <w:rFonts w:hint="eastAsia" w:ascii="宋体" w:hAnsi="宋体" w:eastAsia="宋体" w:cs="宋体"/>
          <w:color w:val="000000"/>
          <w:kern w:val="0"/>
          <w:sz w:val="21"/>
          <w:szCs w:val="21"/>
          <w:lang w:bidi="ar"/>
        </w:rPr>
        <w:t>新建的一艘内河渔船，应按该规则规定核算其稳性。</w:t>
      </w:r>
      <w:r>
        <w:rPr>
          <w:rFonts w:hint="eastAsia" w:ascii="宋体" w:hAnsi="宋体" w:eastAsia="宋体" w:cs="宋体"/>
          <w:sz w:val="21"/>
          <w:szCs w:val="21"/>
        </w:rPr>
        <w:t>（√）（命题依据：</w:t>
      </w:r>
      <w:r>
        <w:rPr>
          <w:rFonts w:hint="eastAsia" w:ascii="宋体" w:hAnsi="宋体" w:eastAsia="宋体" w:cs="宋体"/>
          <w:bCs/>
          <w:sz w:val="21"/>
          <w:szCs w:val="21"/>
        </w:rPr>
        <w:t>《内河渔船法定检验技术规则（2019）》</w:t>
      </w:r>
      <w:r>
        <w:rPr>
          <w:rFonts w:hint="eastAsia" w:ascii="宋体" w:hAnsi="宋体" w:eastAsia="宋体" w:cs="宋体"/>
          <w:sz w:val="21"/>
          <w:szCs w:val="21"/>
        </w:rPr>
        <w:t>第六篇1.1.1）</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依据</w:t>
      </w:r>
      <w:r>
        <w:rPr>
          <w:rFonts w:hint="eastAsia" w:ascii="宋体" w:hAnsi="宋体" w:eastAsia="宋体" w:cs="宋体"/>
          <w:bCs/>
          <w:sz w:val="21"/>
          <w:szCs w:val="21"/>
        </w:rPr>
        <w:t>《内河渔船法定检验技术规则（2019）》</w:t>
      </w:r>
      <w:r>
        <w:rPr>
          <w:rFonts w:hint="eastAsia" w:ascii="宋体" w:hAnsi="宋体" w:eastAsia="宋体" w:cs="宋体"/>
          <w:sz w:val="21"/>
          <w:szCs w:val="21"/>
        </w:rPr>
        <w:t>，船长大于或等于20m的</w:t>
      </w:r>
      <w:r>
        <w:rPr>
          <w:rFonts w:hint="eastAsia" w:ascii="宋体" w:hAnsi="宋体" w:eastAsia="宋体" w:cs="宋体"/>
          <w:color w:val="000000"/>
          <w:kern w:val="0"/>
          <w:sz w:val="21"/>
          <w:szCs w:val="21"/>
          <w:lang w:bidi="ar"/>
        </w:rPr>
        <w:t>新船，应进行倾斜试验并确定其稳性要素，不应有例外。</w:t>
      </w:r>
      <w:r>
        <w:rPr>
          <w:rFonts w:hint="eastAsia" w:ascii="宋体" w:hAnsi="宋体" w:eastAsia="宋体" w:cs="宋体"/>
          <w:sz w:val="21"/>
          <w:szCs w:val="21"/>
        </w:rPr>
        <w:t>（×）（命题依据：</w:t>
      </w:r>
      <w:r>
        <w:rPr>
          <w:rFonts w:hint="eastAsia" w:ascii="宋体" w:hAnsi="宋体" w:eastAsia="宋体" w:cs="宋体"/>
          <w:bCs/>
          <w:sz w:val="21"/>
          <w:szCs w:val="21"/>
        </w:rPr>
        <w:t>《内河渔船法定检验技术规则（2019）》</w:t>
      </w:r>
      <w:r>
        <w:rPr>
          <w:rFonts w:hint="eastAsia" w:ascii="宋体" w:hAnsi="宋体" w:eastAsia="宋体" w:cs="宋体"/>
          <w:sz w:val="21"/>
          <w:szCs w:val="21"/>
        </w:rPr>
        <w:t>第六篇1.3.1.1，</w:t>
      </w:r>
      <w:r>
        <w:rPr>
          <w:rFonts w:hint="eastAsia" w:ascii="宋体" w:hAnsi="宋体" w:eastAsia="宋体" w:cs="宋体"/>
          <w:color w:val="FF0000"/>
          <w:sz w:val="21"/>
          <w:szCs w:val="21"/>
        </w:rPr>
        <w:t>1.3.2</w:t>
      </w:r>
      <w:r>
        <w:rPr>
          <w:rFonts w:hint="eastAsia" w:ascii="宋体" w:hAnsi="宋体" w:eastAsia="宋体" w:cs="宋体"/>
          <w:sz w:val="21"/>
          <w:szCs w:val="21"/>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依据</w:t>
      </w:r>
      <w:r>
        <w:rPr>
          <w:rFonts w:hint="eastAsia" w:ascii="宋体" w:hAnsi="宋体" w:eastAsia="宋体" w:cs="宋体"/>
          <w:bCs/>
          <w:sz w:val="21"/>
          <w:szCs w:val="21"/>
        </w:rPr>
        <w:t>《内河渔船法定检验技术规则（2019）》</w:t>
      </w:r>
      <w:r>
        <w:rPr>
          <w:rFonts w:hint="eastAsia" w:ascii="宋体" w:hAnsi="宋体" w:eastAsia="宋体" w:cs="宋体"/>
          <w:sz w:val="21"/>
          <w:szCs w:val="21"/>
        </w:rPr>
        <w:t>，</w:t>
      </w:r>
      <w:r>
        <w:rPr>
          <w:rFonts w:hint="eastAsia" w:ascii="宋体" w:hAnsi="宋体" w:eastAsia="宋体" w:cs="宋体"/>
          <w:color w:val="000000"/>
          <w:kern w:val="0"/>
          <w:sz w:val="21"/>
          <w:szCs w:val="21"/>
          <w:lang w:bidi="ar"/>
        </w:rPr>
        <w:t>如渔船经过任何改建对稳性有实质性影响时，该船应重新进行倾斜试验。</w:t>
      </w:r>
      <w:r>
        <w:rPr>
          <w:rFonts w:hint="eastAsia" w:ascii="宋体" w:hAnsi="宋体" w:eastAsia="宋体" w:cs="宋体"/>
          <w:sz w:val="21"/>
          <w:szCs w:val="21"/>
        </w:rPr>
        <w:t>（√）（命题依据：</w:t>
      </w:r>
      <w:r>
        <w:rPr>
          <w:rFonts w:hint="eastAsia" w:ascii="宋体" w:hAnsi="宋体" w:eastAsia="宋体" w:cs="宋体"/>
          <w:bCs/>
          <w:sz w:val="21"/>
          <w:szCs w:val="21"/>
        </w:rPr>
        <w:t>《内河渔船法定检验技术规则（2019）》</w:t>
      </w:r>
      <w:r>
        <w:rPr>
          <w:rFonts w:hint="eastAsia" w:ascii="宋体" w:hAnsi="宋体" w:eastAsia="宋体" w:cs="宋体"/>
          <w:sz w:val="21"/>
          <w:szCs w:val="21"/>
        </w:rPr>
        <w:t>第六篇</w:t>
      </w:r>
      <w:r>
        <w:rPr>
          <w:rFonts w:hint="eastAsia" w:ascii="宋体" w:hAnsi="宋体" w:eastAsia="宋体" w:cs="宋体"/>
          <w:color w:val="FF0000"/>
          <w:sz w:val="21"/>
          <w:szCs w:val="21"/>
        </w:rPr>
        <w:t>1.3.1.3</w:t>
      </w:r>
      <w:r>
        <w:rPr>
          <w:rFonts w:hint="eastAsia" w:ascii="宋体" w:hAnsi="宋体" w:eastAsia="宋体" w:cs="宋体"/>
          <w:sz w:val="21"/>
          <w:szCs w:val="21"/>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sz w:val="21"/>
          <w:szCs w:val="21"/>
        </w:rPr>
      </w:pPr>
      <w:r>
        <w:rPr>
          <w:rFonts w:hint="eastAsia" w:ascii="宋体" w:hAnsi="宋体" w:eastAsia="宋体" w:cs="宋体"/>
          <w:snapToGrid w:val="0"/>
          <w:spacing w:val="0"/>
          <w:kern w:val="24"/>
          <w:sz w:val="21"/>
          <w:szCs w:val="21"/>
          <w:highlight w:val="none"/>
          <w:lang w:val="en-US" w:eastAsia="zh-CN"/>
        </w:rPr>
        <w:t>依据《内河渔船法定检验技术规则（2019）》，船舶稳性不符合要求而必须采</w:t>
      </w:r>
      <w:r>
        <w:rPr>
          <w:rFonts w:hint="eastAsia" w:ascii="宋体" w:hAnsi="宋体" w:eastAsia="宋体" w:cs="宋体"/>
          <w:color w:val="000000"/>
          <w:kern w:val="0"/>
          <w:sz w:val="21"/>
          <w:szCs w:val="21"/>
          <w:lang w:bidi="ar"/>
        </w:rPr>
        <w:t>用永久性压载时，船东可自行决定压载位置和重量，不须征得船舶检验机构的同意。</w:t>
      </w:r>
      <w:r>
        <w:rPr>
          <w:rFonts w:hint="eastAsia" w:ascii="宋体" w:hAnsi="宋体" w:eastAsia="宋体" w:cs="宋体"/>
          <w:sz w:val="21"/>
          <w:szCs w:val="21"/>
        </w:rPr>
        <w:t>（×）（命题依据：</w:t>
      </w:r>
      <w:r>
        <w:rPr>
          <w:rFonts w:hint="eastAsia" w:ascii="宋体" w:hAnsi="宋体" w:eastAsia="宋体" w:cs="宋体"/>
          <w:bCs/>
          <w:sz w:val="21"/>
          <w:szCs w:val="21"/>
        </w:rPr>
        <w:t>《内河渔船法定检验技术规则（2019）》</w:t>
      </w:r>
      <w:r>
        <w:rPr>
          <w:rFonts w:hint="eastAsia" w:ascii="宋体" w:hAnsi="宋体" w:eastAsia="宋体" w:cs="宋体"/>
          <w:sz w:val="21"/>
          <w:szCs w:val="21"/>
        </w:rPr>
        <w:t>第六篇2.3.1.5）</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color w:val="auto"/>
          <w:sz w:val="21"/>
          <w:szCs w:val="21"/>
        </w:rPr>
      </w:pPr>
      <w:r>
        <w:rPr>
          <w:rFonts w:hint="eastAsia" w:ascii="宋体" w:hAnsi="宋体" w:eastAsia="宋体" w:cs="宋体"/>
          <w:snapToGrid w:val="0"/>
          <w:spacing w:val="0"/>
          <w:kern w:val="24"/>
          <w:sz w:val="21"/>
          <w:szCs w:val="21"/>
          <w:highlight w:val="none"/>
          <w:lang w:val="en-US" w:eastAsia="zh-CN" w:bidi="ar-SA"/>
        </w:rPr>
        <w:t>依据《内河小型渔船法定检验技术规则（2019）》，一艘7.00m渔船，有上层</w:t>
      </w:r>
      <w:r>
        <w:rPr>
          <w:rFonts w:hint="eastAsia" w:ascii="宋体" w:hAnsi="宋体" w:eastAsia="宋体" w:cs="宋体"/>
          <w:color w:val="auto"/>
          <w:sz w:val="21"/>
          <w:szCs w:val="21"/>
        </w:rPr>
        <w:t>建筑或甲板室结构</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可使用以汽油为燃料的座机（×）。（命题依据：《内河小型渔船法定检验技术规则（2019）》3.3.1.2）</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依据</w:t>
      </w:r>
      <w:r>
        <w:rPr>
          <w:rFonts w:hint="eastAsia" w:ascii="宋体" w:hAnsi="宋体" w:eastAsia="宋体" w:cs="宋体"/>
          <w:color w:val="auto"/>
          <w:sz w:val="21"/>
          <w:szCs w:val="21"/>
        </w:rPr>
        <w:t>《内河小型渔船法定检验技术规则（2019）》，防撞舱壁上不允许设置门，也不允许设置用螺栓固定的水密人孔盖（×）。（命题依据：《内河小型渔船法定检验技术规则（2019）》3.2.4.3）</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color w:val="auto"/>
          <w:sz w:val="21"/>
          <w:szCs w:val="21"/>
        </w:rPr>
      </w:pPr>
      <w:bookmarkStart w:id="0" w:name="_Hlk141448933"/>
      <w:r>
        <w:rPr>
          <w:rFonts w:hint="eastAsia" w:ascii="宋体" w:hAnsi="宋体" w:eastAsia="宋体" w:cs="宋体"/>
          <w:color w:val="auto"/>
          <w:sz w:val="21"/>
          <w:szCs w:val="21"/>
          <w:lang w:eastAsia="zh-CN"/>
        </w:rPr>
        <w:t>依据</w:t>
      </w:r>
      <w:r>
        <w:rPr>
          <w:rFonts w:hint="eastAsia" w:ascii="宋体" w:hAnsi="宋体" w:eastAsia="宋体" w:cs="宋体"/>
          <w:color w:val="auto"/>
          <w:sz w:val="21"/>
          <w:szCs w:val="21"/>
        </w:rPr>
        <w:t>《内河小型渔船法定检验技术规则（2019）》，</w:t>
      </w:r>
      <w:r>
        <w:rPr>
          <w:rFonts w:hint="eastAsia" w:ascii="宋体" w:hAnsi="宋体" w:eastAsia="宋体" w:cs="宋体"/>
          <w:color w:val="auto"/>
          <w:sz w:val="21"/>
          <w:szCs w:val="21"/>
          <w:lang w:val="en-US" w:eastAsia="zh-CN"/>
        </w:rPr>
        <w:t>一艘</w:t>
      </w:r>
      <w:r>
        <w:rPr>
          <w:rFonts w:hint="eastAsia" w:ascii="宋体" w:hAnsi="宋体" w:eastAsia="宋体" w:cs="宋体"/>
          <w:color w:val="auto"/>
          <w:sz w:val="21"/>
          <w:szCs w:val="21"/>
        </w:rPr>
        <w:t>内河捕捞渔船，有甲板室结构，总长12.90m，船长10.35m，</w:t>
      </w:r>
      <w:bookmarkEnd w:id="0"/>
      <w:r>
        <w:rPr>
          <w:rFonts w:hint="eastAsia" w:ascii="宋体" w:hAnsi="宋体" w:eastAsia="宋体" w:cs="宋体"/>
          <w:color w:val="auto"/>
          <w:sz w:val="21"/>
          <w:szCs w:val="21"/>
        </w:rPr>
        <w:t>船舶装载时的吃水应不超过勘定的航区载重线的下缘（×）（命题依据：《内河小型渔船法定检验技术规则（2019）》4.2.1.4）。</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依据</w:t>
      </w:r>
      <w:r>
        <w:rPr>
          <w:rFonts w:hint="eastAsia" w:ascii="宋体" w:hAnsi="宋体" w:eastAsia="宋体" w:cs="宋体"/>
          <w:color w:val="auto"/>
          <w:sz w:val="21"/>
          <w:szCs w:val="21"/>
        </w:rPr>
        <w:t>《内河小型渔船法定检验技术规则（2019）》，一艘内河小型机动捕捞船，在满载吃水的最大航速时，操舵时间应满足，从一舷35°转至另一舷30°的转舵时间，J级航段应不大于15s，其他航区应不大于20s（√）。（命题依据：《内河小型渔船法定检验技术规则（2019）》3.3.24.1）</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依据《内河渔船法定检验技术规则（2019）》，船上的电气设备应能安全操作，并应保证船员及船舶的安全，免受电气事故的危害。（√）（命题依据《内河渔船法定检验技术规则（2019）》第八篇1.1）</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依据《内河渔船法定检验技术规则（2019）》，如电气装置采用与本规则等效的其他措施时，应经验船师同意。（</w:t>
      </w:r>
      <w:r>
        <w:rPr>
          <w:rFonts w:hint="eastAsia" w:ascii="宋体" w:hAnsi="宋体" w:eastAsia="宋体" w:cs="宋体"/>
          <w:sz w:val="21"/>
          <w:szCs w:val="21"/>
        </w:rPr>
        <w:t>×</w:t>
      </w:r>
      <w:r>
        <w:rPr>
          <w:rFonts w:hint="eastAsia" w:ascii="宋体" w:hAnsi="宋体" w:eastAsia="宋体" w:cs="宋体"/>
          <w:sz w:val="21"/>
          <w:szCs w:val="21"/>
          <w:highlight w:val="none"/>
          <w:lang w:val="en-US" w:eastAsia="zh-CN"/>
        </w:rPr>
        <w:t>）（命题依据《内河渔船法定检验技术规则（2019）》第八篇1.2）</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依据《内河渔船法定检验技术规则（2019）》，船舶主电源装置的容量和数量应能确保为保持船舶处于正常操作状态及生活所必需的部分电气设备供电。（</w:t>
      </w:r>
      <w:r>
        <w:rPr>
          <w:rFonts w:hint="eastAsia" w:ascii="宋体" w:hAnsi="宋体" w:eastAsia="宋体" w:cs="宋体"/>
          <w:sz w:val="21"/>
          <w:szCs w:val="21"/>
        </w:rPr>
        <w:t>×</w:t>
      </w:r>
      <w:r>
        <w:rPr>
          <w:rFonts w:hint="eastAsia" w:ascii="宋体" w:hAnsi="宋体" w:eastAsia="宋体" w:cs="宋体"/>
          <w:sz w:val="21"/>
          <w:szCs w:val="21"/>
          <w:lang w:val="en-US" w:eastAsia="zh-CN"/>
        </w:rPr>
        <w:t>）（命题依据《内河渔船法定检验技术规则（2019）》第八篇2.1）</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依据《内河渔船法定检验技术规则（2019）》，每盏航行灯、信号灯均应由航行灯控制箱引出的独立分路供电，而且应在这些分路的每个绝缘极上用安装在该控制箱内的开关和熔断器或断路器来进行控制和保护。（√）（命题依据《内河渔船法定检验技术规则（2019）》第八篇3.2.1）</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依据《内河渔船法定检验技术规则（2019）》，正常控制推进装置的机器处所控制站</w:t>
      </w:r>
      <w:r>
        <w:rPr>
          <w:rFonts w:hint="eastAsia" w:ascii="宋体" w:hAnsi="宋体" w:eastAsia="宋体" w:cs="宋体"/>
          <w:color w:val="auto"/>
          <w:sz w:val="21"/>
          <w:szCs w:val="21"/>
          <w:highlight w:val="none"/>
          <w:lang w:val="en-US" w:eastAsia="zh-CN"/>
        </w:rPr>
        <w:t>与</w:t>
      </w:r>
      <w:r>
        <w:rPr>
          <w:rFonts w:hint="eastAsia" w:ascii="宋体" w:hAnsi="宋体" w:eastAsia="宋体" w:cs="宋体"/>
          <w:color w:val="auto"/>
          <w:sz w:val="21"/>
          <w:szCs w:val="21"/>
          <w:lang w:val="en-US" w:eastAsia="zh-CN"/>
        </w:rPr>
        <w:t>驾驶室之间可以仅设置1套通信设施。（√）（命题依据：《内河渔船法定检验技术规则（2019）》第7篇1.3.3）</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snapToGrid w:val="0"/>
          <w:spacing w:val="0"/>
          <w:kern w:val="24"/>
          <w:sz w:val="21"/>
          <w:szCs w:val="21"/>
          <w:highlight w:val="none"/>
          <w:lang w:val="en-US" w:eastAsia="zh-CN"/>
        </w:rPr>
        <w:t>依据《内河渔船法定检验技术规则（2019）》，油管、水管、油柜和其他液体</w:t>
      </w:r>
      <w:r>
        <w:rPr>
          <w:rFonts w:hint="eastAsia" w:ascii="宋体" w:hAnsi="宋体" w:eastAsia="宋体" w:cs="宋体"/>
          <w:color w:val="auto"/>
          <w:sz w:val="21"/>
          <w:szCs w:val="21"/>
          <w:lang w:val="en-US" w:eastAsia="zh-CN"/>
        </w:rPr>
        <w:t>容器，应避免设在配电板上方及后面。若不可避免，则不得有可拆接头。（√）（命题依据：《内河渔船法定检验技术规则（2019）》第7篇2.1.3.1）</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依据《内河渔船法定检验技术规则（2019）》，使用时压力可能超过设计压力的管路，应在泵的输出管路上设置安全阀。安全阀的调整压力可以超过管路的设计压力。（×）（命题依据：《内河渔船法定检验技术规则（2019）》第7篇2.1.3.1）</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snapToGrid w:val="0"/>
          <w:spacing w:val="0"/>
          <w:kern w:val="24"/>
          <w:sz w:val="21"/>
          <w:szCs w:val="21"/>
          <w:highlight w:val="none"/>
          <w:lang w:val="en-US" w:eastAsia="zh-CN"/>
        </w:rPr>
        <w:t>依据《内河渔船法定检验技术规则（2019）》，机舱处所内的直通舱底泵吸口</w:t>
      </w:r>
      <w:r>
        <w:rPr>
          <w:rFonts w:hint="eastAsia" w:ascii="宋体" w:hAnsi="宋体" w:eastAsia="宋体" w:cs="宋体"/>
          <w:color w:val="auto"/>
          <w:sz w:val="21"/>
          <w:szCs w:val="21"/>
          <w:lang w:val="en-US" w:eastAsia="zh-CN"/>
        </w:rPr>
        <w:t>直径应不小于该船舱底水总管的内径。（√）（命题依据：《内河渔船法定检验技术规则（2019）》第七篇2.1.3.2）</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sz w:val="21"/>
          <w:szCs w:val="21"/>
        </w:rPr>
      </w:pPr>
      <w:r>
        <w:rPr>
          <w:rFonts w:hint="eastAsia" w:ascii="宋体" w:hAnsi="宋体" w:eastAsia="宋体" w:cs="宋体"/>
          <w:color w:val="0000FF"/>
          <w:sz w:val="21"/>
          <w:szCs w:val="21"/>
        </w:rPr>
        <w:t>依据《内河渔船法定检验技术规则（2019）》，</w:t>
      </w:r>
      <w:r>
        <w:rPr>
          <w:rFonts w:hint="eastAsia" w:ascii="宋体" w:hAnsi="宋体" w:eastAsia="宋体" w:cs="宋体"/>
          <w:sz w:val="21"/>
          <w:szCs w:val="21"/>
        </w:rPr>
        <w:t>船舶所有人应按有关规定向船舶检验机构申报法定检验，并在法定检验前对渔船进行自检和预检，根据预检情况如实填写《渔船安全环保技术状况声明书》，并由检查人员签字，对真实性负责。（×）（命题依据：《内河渔船法定检验技术规则（2019）》第二篇1.1.2）</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依据《内河渔船法定检验技术规则（2019）》，初次检验是指渔船（包括重大改建）在首次投入营运以及船舶检验机构第一次对渔船签发证书之前所进行的检验，包括新船的初次检验和现有船的初次检验。（√）（命题依据：《内河渔船法定检验技术规则（2019）》第二篇1.2.2.1）</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依据《内河渔船法定检验技术规则（2019）》，内河渔船的检验类别分为初次检验、建造检验、营运检验、临时检验。（×）（命题依据：《内河渔船法定检验技术规则（2019）》第二篇1.2.1.1）</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0" w:firstLineChars="200"/>
        <w:textAlignment w:val="auto"/>
        <w:rPr>
          <w:rFonts w:hint="eastAsia" w:ascii="宋体" w:hAnsi="宋体" w:eastAsia="宋体" w:cs="宋体"/>
          <w:sz w:val="21"/>
          <w:szCs w:val="21"/>
        </w:rPr>
      </w:pPr>
      <w:r>
        <w:rPr>
          <w:rFonts w:hint="eastAsia" w:ascii="宋体" w:hAnsi="宋体" w:eastAsia="宋体" w:cs="宋体"/>
          <w:color w:val="0000FF"/>
          <w:sz w:val="21"/>
          <w:szCs w:val="21"/>
        </w:rPr>
        <w:t>依据《内河渔船法定检验技术规则（2019）》，</w:t>
      </w:r>
      <w:r>
        <w:rPr>
          <w:rFonts w:hint="eastAsia" w:ascii="宋体" w:hAnsi="宋体" w:eastAsia="宋体" w:cs="宋体"/>
          <w:sz w:val="21"/>
          <w:szCs w:val="21"/>
        </w:rPr>
        <w:t>一艘船长15.80m的内河刺网渔船，渔船检验证书上记载的下次检验类型为年度检验，下次检验日期为2023年8月21日。船舶所有人于2023年8月25日向检验机构申报检验，检验申报书上申请的检验类型为临时检验。（×）（命题依据：《内河渔船法定检验技术规则（2019）》第二篇1.3.1）</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8" w:firstLineChars="200"/>
        <w:textAlignment w:val="auto"/>
        <w:rPr>
          <w:rFonts w:hint="eastAsia" w:ascii="宋体" w:hAnsi="宋体" w:eastAsia="宋体" w:cs="宋体"/>
          <w:sz w:val="21"/>
          <w:szCs w:val="21"/>
        </w:rPr>
      </w:pPr>
      <w:r>
        <w:rPr>
          <w:rFonts w:hint="eastAsia" w:ascii="宋体" w:hAnsi="宋体" w:eastAsia="宋体" w:cs="宋体"/>
          <w:spacing w:val="2"/>
          <w:sz w:val="21"/>
          <w:szCs w:val="21"/>
        </w:rPr>
        <w:t>依据《内河渔船法定检验技术规则(2019)》</w:t>
      </w:r>
      <w:r>
        <w:rPr>
          <w:rFonts w:hint="eastAsia" w:ascii="宋体" w:hAnsi="宋体" w:eastAsia="宋体" w:cs="宋体"/>
          <w:spacing w:val="2"/>
          <w:sz w:val="21"/>
          <w:szCs w:val="21"/>
          <w:lang w:val="en-US" w:eastAsia="zh-CN"/>
        </w:rPr>
        <w:t>及《吨位丈量规则（2022）》</w:t>
      </w:r>
      <w:r>
        <w:rPr>
          <w:rFonts w:hint="eastAsia" w:ascii="宋体" w:hAnsi="宋体" w:eastAsia="宋体" w:cs="宋体"/>
          <w:spacing w:val="2"/>
          <w:sz w:val="21"/>
          <w:szCs w:val="21"/>
        </w:rPr>
        <w:t>,</w:t>
      </w:r>
      <w:r>
        <w:rPr>
          <w:rFonts w:hint="eastAsia" w:ascii="宋体" w:hAnsi="宋体" w:eastAsia="宋体" w:cs="宋体"/>
          <w:sz w:val="21"/>
          <w:szCs w:val="21"/>
        </w:rPr>
        <w:t xml:space="preserve"> </w:t>
      </w:r>
      <w:r>
        <w:rPr>
          <w:rFonts w:hint="eastAsia" w:ascii="宋体" w:hAnsi="宋体" w:eastAsia="宋体" w:cs="宋体"/>
          <w:color w:val="0000FF"/>
          <w:sz w:val="21"/>
          <w:szCs w:val="21"/>
          <w:lang w:val="en-US" w:eastAsia="zh-CN"/>
        </w:rPr>
        <w:t>一艘船长为12.80m的内河渔船，</w:t>
      </w:r>
      <w:r>
        <w:rPr>
          <w:rFonts w:hint="eastAsia" w:ascii="宋体" w:hAnsi="宋体" w:eastAsia="宋体" w:cs="宋体"/>
          <w:spacing w:val="-8"/>
          <w:sz w:val="21"/>
          <w:szCs w:val="21"/>
        </w:rPr>
        <w:t>经核查</w:t>
      </w:r>
      <w:r>
        <w:rPr>
          <w:rFonts w:hint="eastAsia" w:ascii="宋体" w:hAnsi="宋体" w:eastAsia="宋体" w:cs="宋体"/>
          <w:spacing w:val="-8"/>
          <w:sz w:val="21"/>
          <w:szCs w:val="21"/>
          <w:lang w:eastAsia="zh-CN"/>
        </w:rPr>
        <w:t>，该</w:t>
      </w:r>
      <w:r>
        <w:rPr>
          <w:rFonts w:hint="eastAsia" w:ascii="宋体" w:hAnsi="宋体" w:eastAsia="宋体" w:cs="宋体"/>
          <w:spacing w:val="-8"/>
          <w:sz w:val="21"/>
          <w:szCs w:val="21"/>
        </w:rPr>
        <w:t>船舶布置与图纸相符，</w:t>
      </w:r>
      <w:r>
        <w:rPr>
          <w:rFonts w:hint="eastAsia" w:ascii="宋体" w:hAnsi="宋体" w:eastAsia="宋体" w:cs="宋体"/>
          <w:spacing w:val="-8"/>
          <w:sz w:val="21"/>
          <w:szCs w:val="21"/>
          <w:lang w:eastAsia="zh-CN"/>
        </w:rPr>
        <w:t>则</w:t>
      </w:r>
      <w:r>
        <w:rPr>
          <w:rFonts w:hint="eastAsia" w:ascii="宋体" w:hAnsi="宋体" w:eastAsia="宋体" w:cs="宋体"/>
          <w:spacing w:val="-8"/>
          <w:sz w:val="21"/>
          <w:szCs w:val="21"/>
        </w:rPr>
        <w:t>丈量</w:t>
      </w:r>
      <w:r>
        <w:rPr>
          <w:rFonts w:hint="eastAsia" w:ascii="宋体" w:hAnsi="宋体" w:eastAsia="宋体" w:cs="宋体"/>
          <w:spacing w:val="-8"/>
          <w:sz w:val="21"/>
          <w:szCs w:val="21"/>
          <w:lang w:eastAsia="zh-CN"/>
        </w:rPr>
        <w:t>该</w:t>
      </w:r>
      <w:r>
        <w:rPr>
          <w:rFonts w:hint="eastAsia" w:ascii="宋体" w:hAnsi="宋体" w:eastAsia="宋体" w:cs="宋体"/>
          <w:spacing w:val="-8"/>
          <w:sz w:val="21"/>
          <w:szCs w:val="21"/>
        </w:rPr>
        <w:t>船舶吨位，</w:t>
      </w:r>
      <w:r>
        <w:rPr>
          <w:rFonts w:hint="eastAsia" w:ascii="宋体" w:hAnsi="宋体" w:eastAsia="宋体" w:cs="宋体"/>
          <w:spacing w:val="-8"/>
          <w:sz w:val="21"/>
          <w:szCs w:val="21"/>
          <w:lang w:val="en-US" w:eastAsia="zh-CN"/>
        </w:rPr>
        <w:t>主甲板以下部分</w:t>
      </w:r>
      <w:r>
        <w:rPr>
          <w:rFonts w:hint="eastAsia" w:ascii="宋体" w:hAnsi="宋体" w:eastAsia="宋体" w:cs="宋体"/>
          <w:spacing w:val="-8"/>
          <w:sz w:val="21"/>
          <w:szCs w:val="21"/>
        </w:rPr>
        <w:t>可按图纸量计。</w:t>
      </w:r>
      <w:r>
        <w:rPr>
          <w:rFonts w:hint="eastAsia" w:ascii="宋体" w:hAnsi="宋体" w:eastAsia="宋体" w:cs="宋体"/>
          <w:spacing w:val="28"/>
          <w:sz w:val="21"/>
          <w:szCs w:val="21"/>
          <w:lang w:eastAsia="zh-CN"/>
        </w:rPr>
        <w:t>（√）</w:t>
      </w:r>
      <w:r>
        <w:rPr>
          <w:rFonts w:hint="eastAsia" w:ascii="宋体" w:hAnsi="宋体" w:eastAsia="宋体" w:cs="宋体"/>
          <w:spacing w:val="10"/>
          <w:sz w:val="21"/>
          <w:szCs w:val="21"/>
        </w:rPr>
        <w:t xml:space="preserve"> </w:t>
      </w:r>
      <w:r>
        <w:rPr>
          <w:rFonts w:hint="eastAsia" w:ascii="宋体" w:hAnsi="宋体" w:eastAsia="宋体" w:cs="宋体"/>
          <w:spacing w:val="-29"/>
          <w:sz w:val="21"/>
          <w:szCs w:val="21"/>
        </w:rPr>
        <w:t>(</w:t>
      </w:r>
      <w:r>
        <w:rPr>
          <w:rFonts w:hint="eastAsia" w:ascii="宋体" w:hAnsi="宋体" w:eastAsia="宋体" w:cs="宋体"/>
          <w:spacing w:val="2"/>
          <w:sz w:val="21"/>
          <w:szCs w:val="21"/>
        </w:rPr>
        <w:t>命题依据</w:t>
      </w:r>
      <w:r>
        <w:rPr>
          <w:rFonts w:hint="eastAsia" w:ascii="宋体" w:hAnsi="宋体" w:eastAsia="宋体" w:cs="宋体"/>
          <w:spacing w:val="-29"/>
          <w:sz w:val="21"/>
          <w:szCs w:val="21"/>
        </w:rPr>
        <w:t>：《</w:t>
      </w:r>
      <w:r>
        <w:rPr>
          <w:rFonts w:hint="eastAsia" w:ascii="宋体" w:hAnsi="宋体" w:eastAsia="宋体" w:cs="宋体"/>
          <w:spacing w:val="2"/>
          <w:sz w:val="21"/>
          <w:szCs w:val="21"/>
        </w:rPr>
        <w:t>内河渔船法定检验技术规则</w:t>
      </w:r>
      <w:r>
        <w:rPr>
          <w:rFonts w:hint="eastAsia" w:ascii="宋体" w:hAnsi="宋体" w:eastAsia="宋体" w:cs="宋体"/>
          <w:spacing w:val="11"/>
          <w:sz w:val="21"/>
          <w:szCs w:val="21"/>
        </w:rPr>
        <w:t>(2019)》第</w:t>
      </w:r>
      <w:r>
        <w:rPr>
          <w:rFonts w:hint="eastAsia" w:ascii="宋体" w:hAnsi="宋体" w:eastAsia="宋体" w:cs="宋体"/>
          <w:spacing w:val="11"/>
          <w:sz w:val="21"/>
          <w:szCs w:val="21"/>
          <w:lang w:eastAsia="zh-CN"/>
        </w:rPr>
        <w:t>四</w:t>
      </w:r>
      <w:r>
        <w:rPr>
          <w:rFonts w:hint="eastAsia" w:ascii="宋体" w:hAnsi="宋体" w:eastAsia="宋体" w:cs="宋体"/>
          <w:spacing w:val="11"/>
          <w:sz w:val="21"/>
          <w:szCs w:val="21"/>
        </w:rPr>
        <w:t>篇</w:t>
      </w:r>
      <w:r>
        <w:rPr>
          <w:rFonts w:hint="eastAsia" w:ascii="宋体" w:hAnsi="宋体" w:eastAsia="宋体" w:cs="宋体"/>
          <w:spacing w:val="11"/>
          <w:sz w:val="21"/>
          <w:szCs w:val="21"/>
          <w:lang w:val="en-US" w:eastAsia="zh-CN"/>
        </w:rPr>
        <w:t>第一章</w:t>
      </w:r>
      <w:r>
        <w:rPr>
          <w:rFonts w:hint="eastAsia" w:ascii="宋体" w:hAnsi="宋体" w:eastAsia="宋体" w:cs="宋体"/>
          <w:spacing w:val="11"/>
          <w:sz w:val="21"/>
          <w:szCs w:val="21"/>
        </w:rPr>
        <w:t>1.1.1.2)</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8" w:firstLineChars="200"/>
        <w:textAlignment w:val="auto"/>
        <w:rPr>
          <w:rFonts w:hint="eastAsia" w:ascii="宋体" w:hAnsi="宋体" w:eastAsia="宋体" w:cs="宋体"/>
          <w:sz w:val="21"/>
          <w:szCs w:val="21"/>
        </w:rPr>
      </w:pPr>
      <w:r>
        <w:rPr>
          <w:rFonts w:hint="eastAsia" w:ascii="宋体" w:hAnsi="宋体" w:eastAsia="宋体" w:cs="宋体"/>
          <w:spacing w:val="2"/>
          <w:sz w:val="21"/>
          <w:szCs w:val="21"/>
        </w:rPr>
        <w:t>依据《内河渔船法定检验技术规则(2019)》</w:t>
      </w:r>
      <w:r>
        <w:rPr>
          <w:rFonts w:hint="eastAsia" w:ascii="宋体" w:hAnsi="宋体" w:eastAsia="宋体" w:cs="宋体"/>
          <w:spacing w:val="2"/>
          <w:sz w:val="21"/>
          <w:szCs w:val="21"/>
          <w:lang w:val="en-US" w:eastAsia="zh-CN"/>
        </w:rPr>
        <w:t>及《吨位丈量规则（2022）》</w:t>
      </w:r>
      <w:r>
        <w:rPr>
          <w:rFonts w:hint="eastAsia" w:ascii="宋体" w:hAnsi="宋体" w:eastAsia="宋体" w:cs="宋体"/>
          <w:spacing w:val="2"/>
          <w:sz w:val="21"/>
          <w:szCs w:val="21"/>
        </w:rPr>
        <w:t>,</w:t>
      </w:r>
      <w:r>
        <w:rPr>
          <w:rFonts w:hint="eastAsia" w:ascii="宋体" w:hAnsi="宋体" w:eastAsia="宋体" w:cs="宋体"/>
          <w:sz w:val="21"/>
          <w:szCs w:val="21"/>
        </w:rPr>
        <w:t xml:space="preserve"> </w:t>
      </w:r>
      <w:r>
        <w:rPr>
          <w:rFonts w:hint="eastAsia" w:ascii="宋体" w:hAnsi="宋体" w:eastAsia="宋体" w:cs="宋体"/>
          <w:spacing w:val="-8"/>
          <w:sz w:val="21"/>
          <w:szCs w:val="21"/>
        </w:rPr>
        <w:t>列入吨位计算中的所有容积，对金属结构的船舶，应量至船体外板的内表面或结构的边界内表面；对其他材料结构的船舶，应量至船体外板的外表面或结构的边界外表面。</w:t>
      </w:r>
      <w:r>
        <w:rPr>
          <w:rFonts w:hint="eastAsia" w:ascii="宋体" w:hAnsi="宋体" w:eastAsia="宋体" w:cs="宋体"/>
          <w:spacing w:val="28"/>
          <w:sz w:val="21"/>
          <w:szCs w:val="21"/>
          <w:lang w:eastAsia="zh-CN"/>
        </w:rPr>
        <w:t>（√）</w:t>
      </w:r>
      <w:r>
        <w:rPr>
          <w:rFonts w:hint="eastAsia" w:ascii="宋体" w:hAnsi="宋体" w:eastAsia="宋体" w:cs="宋体"/>
          <w:spacing w:val="10"/>
          <w:sz w:val="21"/>
          <w:szCs w:val="21"/>
        </w:rPr>
        <w:t xml:space="preserve"> </w:t>
      </w:r>
      <w:r>
        <w:rPr>
          <w:rFonts w:hint="eastAsia" w:ascii="宋体" w:hAnsi="宋体" w:eastAsia="宋体" w:cs="宋体"/>
          <w:spacing w:val="-29"/>
          <w:sz w:val="21"/>
          <w:szCs w:val="21"/>
        </w:rPr>
        <w:t>(</w:t>
      </w:r>
      <w:r>
        <w:rPr>
          <w:rFonts w:hint="eastAsia" w:ascii="宋体" w:hAnsi="宋体" w:eastAsia="宋体" w:cs="宋体"/>
          <w:spacing w:val="2"/>
          <w:sz w:val="21"/>
          <w:szCs w:val="21"/>
        </w:rPr>
        <w:t>命题依据</w:t>
      </w:r>
      <w:r>
        <w:rPr>
          <w:rFonts w:hint="eastAsia" w:ascii="宋体" w:hAnsi="宋体" w:eastAsia="宋体" w:cs="宋体"/>
          <w:spacing w:val="-29"/>
          <w:sz w:val="21"/>
          <w:szCs w:val="21"/>
        </w:rPr>
        <w:t>：《</w:t>
      </w:r>
      <w:r>
        <w:rPr>
          <w:rFonts w:hint="eastAsia" w:ascii="宋体" w:hAnsi="宋体" w:eastAsia="宋体" w:cs="宋体"/>
          <w:spacing w:val="2"/>
          <w:sz w:val="21"/>
          <w:szCs w:val="21"/>
        </w:rPr>
        <w:t>内河渔船法定检验技术规则</w:t>
      </w:r>
      <w:r>
        <w:rPr>
          <w:rFonts w:hint="eastAsia" w:ascii="宋体" w:hAnsi="宋体" w:eastAsia="宋体" w:cs="宋体"/>
          <w:spacing w:val="11"/>
          <w:sz w:val="21"/>
          <w:szCs w:val="21"/>
        </w:rPr>
        <w:t>(2019)》第</w:t>
      </w:r>
      <w:r>
        <w:rPr>
          <w:rFonts w:hint="eastAsia" w:ascii="宋体" w:hAnsi="宋体" w:eastAsia="宋体" w:cs="宋体"/>
          <w:spacing w:val="11"/>
          <w:sz w:val="21"/>
          <w:szCs w:val="21"/>
          <w:lang w:eastAsia="zh-CN"/>
        </w:rPr>
        <w:t>四</w:t>
      </w:r>
      <w:r>
        <w:rPr>
          <w:rFonts w:hint="eastAsia" w:ascii="宋体" w:hAnsi="宋体" w:eastAsia="宋体" w:cs="宋体"/>
          <w:spacing w:val="11"/>
          <w:sz w:val="21"/>
          <w:szCs w:val="21"/>
        </w:rPr>
        <w:t>篇</w:t>
      </w:r>
      <w:r>
        <w:rPr>
          <w:rFonts w:hint="eastAsia" w:ascii="宋体" w:hAnsi="宋体" w:eastAsia="宋体" w:cs="宋体"/>
          <w:spacing w:val="11"/>
          <w:sz w:val="21"/>
          <w:szCs w:val="21"/>
          <w:lang w:val="en-US" w:eastAsia="zh-CN"/>
        </w:rPr>
        <w:t>第一章</w:t>
      </w:r>
      <w:r>
        <w:rPr>
          <w:rFonts w:hint="eastAsia" w:ascii="宋体" w:hAnsi="宋体" w:eastAsia="宋体" w:cs="宋体"/>
          <w:spacing w:val="11"/>
          <w:sz w:val="21"/>
          <w:szCs w:val="21"/>
        </w:rPr>
        <w:t>1.1.</w:t>
      </w:r>
      <w:r>
        <w:rPr>
          <w:rFonts w:hint="eastAsia" w:ascii="宋体" w:hAnsi="宋体" w:eastAsia="宋体" w:cs="宋体"/>
          <w:spacing w:val="11"/>
          <w:sz w:val="21"/>
          <w:szCs w:val="21"/>
          <w:lang w:val="en-US" w:eastAsia="zh-CN"/>
        </w:rPr>
        <w:t>3</w:t>
      </w:r>
      <w:r>
        <w:rPr>
          <w:rFonts w:hint="eastAsia" w:ascii="宋体" w:hAnsi="宋体" w:eastAsia="宋体" w:cs="宋体"/>
          <w:spacing w:val="11"/>
          <w:sz w:val="21"/>
          <w:szCs w:val="21"/>
        </w:rPr>
        <w:t>.</w:t>
      </w:r>
      <w:r>
        <w:rPr>
          <w:rFonts w:hint="eastAsia" w:ascii="宋体" w:hAnsi="宋体" w:eastAsia="宋体" w:cs="宋体"/>
          <w:spacing w:val="11"/>
          <w:sz w:val="21"/>
          <w:szCs w:val="21"/>
          <w:lang w:val="en-US" w:eastAsia="zh-CN"/>
        </w:rPr>
        <w:t>1</w:t>
      </w:r>
      <w:r>
        <w:rPr>
          <w:rFonts w:hint="eastAsia" w:ascii="宋体" w:hAnsi="宋体" w:eastAsia="宋体" w:cs="宋体"/>
          <w:spacing w:val="11"/>
          <w:sz w:val="21"/>
          <w:szCs w:val="21"/>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8" w:firstLineChars="200"/>
        <w:textAlignment w:val="auto"/>
        <w:rPr>
          <w:rFonts w:hint="eastAsia" w:ascii="宋体" w:hAnsi="宋体" w:eastAsia="宋体" w:cs="宋体"/>
          <w:sz w:val="21"/>
          <w:szCs w:val="21"/>
        </w:rPr>
      </w:pPr>
      <w:r>
        <w:rPr>
          <w:rFonts w:hint="eastAsia" w:ascii="宋体" w:hAnsi="宋体" w:eastAsia="宋体" w:cs="宋体"/>
          <w:spacing w:val="2"/>
          <w:sz w:val="21"/>
          <w:szCs w:val="21"/>
        </w:rPr>
        <w:t>依据《内河渔船法定检验技术规则(2019)》</w:t>
      </w:r>
      <w:r>
        <w:rPr>
          <w:rFonts w:hint="eastAsia" w:ascii="宋体" w:hAnsi="宋体" w:eastAsia="宋体" w:cs="宋体"/>
          <w:spacing w:val="2"/>
          <w:sz w:val="21"/>
          <w:szCs w:val="21"/>
          <w:lang w:val="en-US" w:eastAsia="zh-CN"/>
        </w:rPr>
        <w:t>及《吨位丈量规则（2022）》</w:t>
      </w:r>
      <w:r>
        <w:rPr>
          <w:rFonts w:hint="eastAsia" w:ascii="宋体" w:hAnsi="宋体" w:eastAsia="宋体" w:cs="宋体"/>
          <w:spacing w:val="2"/>
          <w:sz w:val="21"/>
          <w:szCs w:val="21"/>
        </w:rPr>
        <w:t>,</w:t>
      </w:r>
      <w:r>
        <w:rPr>
          <w:rFonts w:hint="eastAsia" w:ascii="宋体" w:hAnsi="宋体" w:eastAsia="宋体" w:cs="宋体"/>
          <w:sz w:val="21"/>
          <w:szCs w:val="21"/>
        </w:rPr>
        <w:t xml:space="preserve"> </w:t>
      </w:r>
      <w:r>
        <w:rPr>
          <w:rFonts w:hint="eastAsia" w:ascii="宋体" w:hAnsi="宋体" w:eastAsia="宋体" w:cs="宋体"/>
          <w:sz w:val="21"/>
          <w:szCs w:val="21"/>
          <w:lang w:eastAsia="zh-CN"/>
        </w:rPr>
        <w:t>吨位丈量</w:t>
      </w:r>
      <w:r>
        <w:rPr>
          <w:rFonts w:hint="eastAsia" w:ascii="宋体" w:hAnsi="宋体" w:eastAsia="宋体" w:cs="宋体"/>
          <w:spacing w:val="-8"/>
          <w:sz w:val="21"/>
          <w:szCs w:val="21"/>
        </w:rPr>
        <w:t>容积计算以</w:t>
      </w:r>
      <w:r>
        <w:rPr>
          <w:rFonts w:hint="eastAsia" w:ascii="宋体" w:hAnsi="宋体" w:eastAsia="宋体" w:cs="宋体"/>
          <w:color w:val="0000FF"/>
          <w:spacing w:val="-8"/>
          <w:sz w:val="21"/>
          <w:szCs w:val="21"/>
          <w:lang w:val="en-US" w:eastAsia="zh-CN"/>
        </w:rPr>
        <w:t>米</w:t>
      </w:r>
      <w:r>
        <w:rPr>
          <w:rFonts w:hint="eastAsia" w:ascii="宋体" w:hAnsi="宋体" w:eastAsia="宋体" w:cs="宋体"/>
          <w:spacing w:val="-8"/>
          <w:sz w:val="21"/>
          <w:szCs w:val="21"/>
          <w:lang w:val="en-US" w:eastAsia="zh-CN"/>
        </w:rPr>
        <w:t>（</w:t>
      </w:r>
      <w:r>
        <w:rPr>
          <w:rFonts w:hint="eastAsia" w:ascii="宋体" w:hAnsi="宋体" w:eastAsia="宋体" w:cs="宋体"/>
          <w:spacing w:val="-8"/>
          <w:sz w:val="21"/>
          <w:szCs w:val="21"/>
        </w:rPr>
        <w:t>m</w:t>
      </w:r>
      <w:r>
        <w:rPr>
          <w:rFonts w:hint="eastAsia" w:ascii="宋体" w:hAnsi="宋体" w:eastAsia="宋体" w:cs="宋体"/>
          <w:spacing w:val="-8"/>
          <w:sz w:val="21"/>
          <w:szCs w:val="21"/>
          <w:lang w:val="en-US" w:eastAsia="zh-CN"/>
        </w:rPr>
        <w:t>）</w:t>
      </w:r>
      <w:r>
        <w:rPr>
          <w:rFonts w:hint="eastAsia" w:ascii="宋体" w:hAnsi="宋体" w:eastAsia="宋体" w:cs="宋体"/>
          <w:spacing w:val="-8"/>
          <w:sz w:val="21"/>
          <w:szCs w:val="21"/>
        </w:rPr>
        <w:t>为计算单位</w:t>
      </w:r>
      <w:r>
        <w:rPr>
          <w:rFonts w:hint="eastAsia" w:ascii="宋体" w:hAnsi="宋体" w:eastAsia="宋体" w:cs="宋体"/>
          <w:spacing w:val="-8"/>
          <w:sz w:val="21"/>
          <w:szCs w:val="21"/>
          <w:lang w:eastAsia="zh-CN"/>
        </w:rPr>
        <w:t>，</w:t>
      </w:r>
      <w:r>
        <w:rPr>
          <w:rFonts w:hint="eastAsia" w:ascii="宋体" w:hAnsi="宋体" w:eastAsia="宋体" w:cs="宋体"/>
          <w:color w:val="0000FF"/>
          <w:spacing w:val="-8"/>
          <w:sz w:val="21"/>
          <w:szCs w:val="21"/>
          <w:lang w:val="en-US" w:eastAsia="zh-CN"/>
        </w:rPr>
        <w:t>取值时</w:t>
      </w:r>
      <w:r>
        <w:rPr>
          <w:rFonts w:hint="eastAsia" w:ascii="宋体" w:hAnsi="宋体" w:eastAsia="宋体" w:cs="宋体"/>
          <w:spacing w:val="-8"/>
          <w:sz w:val="21"/>
          <w:szCs w:val="21"/>
        </w:rPr>
        <w:t>只取整数部分，舍去小数部分。</w:t>
      </w:r>
      <w:r>
        <w:rPr>
          <w:rFonts w:hint="eastAsia" w:ascii="宋体" w:hAnsi="宋体" w:eastAsia="宋体" w:cs="宋体"/>
          <w:spacing w:val="28"/>
          <w:sz w:val="21"/>
          <w:szCs w:val="21"/>
          <w:lang w:eastAsia="zh-CN"/>
        </w:rPr>
        <w:t>（×）</w:t>
      </w:r>
      <w:r>
        <w:rPr>
          <w:rFonts w:hint="eastAsia" w:ascii="宋体" w:hAnsi="宋体" w:eastAsia="宋体" w:cs="宋体"/>
          <w:spacing w:val="10"/>
          <w:sz w:val="21"/>
          <w:szCs w:val="21"/>
        </w:rPr>
        <w:t xml:space="preserve"> </w:t>
      </w:r>
      <w:r>
        <w:rPr>
          <w:rFonts w:hint="eastAsia" w:ascii="宋体" w:hAnsi="宋体" w:eastAsia="宋体" w:cs="宋体"/>
          <w:spacing w:val="-29"/>
          <w:sz w:val="21"/>
          <w:szCs w:val="21"/>
        </w:rPr>
        <w:t>(</w:t>
      </w:r>
      <w:r>
        <w:rPr>
          <w:rFonts w:hint="eastAsia" w:ascii="宋体" w:hAnsi="宋体" w:eastAsia="宋体" w:cs="宋体"/>
          <w:spacing w:val="2"/>
          <w:sz w:val="21"/>
          <w:szCs w:val="21"/>
        </w:rPr>
        <w:t>命题依据</w:t>
      </w:r>
      <w:r>
        <w:rPr>
          <w:rFonts w:hint="eastAsia" w:ascii="宋体" w:hAnsi="宋体" w:eastAsia="宋体" w:cs="宋体"/>
          <w:spacing w:val="-29"/>
          <w:sz w:val="21"/>
          <w:szCs w:val="21"/>
        </w:rPr>
        <w:t>：《</w:t>
      </w:r>
      <w:r>
        <w:rPr>
          <w:rFonts w:hint="eastAsia" w:ascii="宋体" w:hAnsi="宋体" w:eastAsia="宋体" w:cs="宋体"/>
          <w:spacing w:val="2"/>
          <w:sz w:val="21"/>
          <w:szCs w:val="21"/>
        </w:rPr>
        <w:t>内河渔船法定检验技术规则</w:t>
      </w:r>
      <w:r>
        <w:rPr>
          <w:rFonts w:hint="eastAsia" w:ascii="宋体" w:hAnsi="宋体" w:eastAsia="宋体" w:cs="宋体"/>
          <w:spacing w:val="11"/>
          <w:sz w:val="21"/>
          <w:szCs w:val="21"/>
        </w:rPr>
        <w:t>(2019)》第</w:t>
      </w:r>
      <w:r>
        <w:rPr>
          <w:rFonts w:hint="eastAsia" w:ascii="宋体" w:hAnsi="宋体" w:eastAsia="宋体" w:cs="宋体"/>
          <w:spacing w:val="11"/>
          <w:sz w:val="21"/>
          <w:szCs w:val="21"/>
          <w:lang w:eastAsia="zh-CN"/>
        </w:rPr>
        <w:t>四</w:t>
      </w:r>
      <w:r>
        <w:rPr>
          <w:rFonts w:hint="eastAsia" w:ascii="宋体" w:hAnsi="宋体" w:eastAsia="宋体" w:cs="宋体"/>
          <w:spacing w:val="11"/>
          <w:sz w:val="21"/>
          <w:szCs w:val="21"/>
        </w:rPr>
        <w:t>篇</w:t>
      </w:r>
      <w:r>
        <w:rPr>
          <w:rFonts w:hint="eastAsia" w:ascii="宋体" w:hAnsi="宋体" w:eastAsia="宋体" w:cs="宋体"/>
          <w:spacing w:val="11"/>
          <w:sz w:val="21"/>
          <w:szCs w:val="21"/>
          <w:lang w:val="en-US" w:eastAsia="zh-CN"/>
        </w:rPr>
        <w:t>第一章</w:t>
      </w:r>
      <w:r>
        <w:rPr>
          <w:rFonts w:hint="eastAsia" w:ascii="宋体" w:hAnsi="宋体" w:eastAsia="宋体" w:cs="宋体"/>
          <w:spacing w:val="11"/>
          <w:sz w:val="21"/>
          <w:szCs w:val="21"/>
        </w:rPr>
        <w:t>1.1.</w:t>
      </w:r>
      <w:r>
        <w:rPr>
          <w:rFonts w:hint="eastAsia" w:ascii="宋体" w:hAnsi="宋体" w:eastAsia="宋体" w:cs="宋体"/>
          <w:spacing w:val="11"/>
          <w:sz w:val="21"/>
          <w:szCs w:val="21"/>
          <w:lang w:val="en-US" w:eastAsia="zh-CN"/>
        </w:rPr>
        <w:t>3</w:t>
      </w:r>
      <w:r>
        <w:rPr>
          <w:rFonts w:hint="eastAsia" w:ascii="宋体" w:hAnsi="宋体" w:eastAsia="宋体" w:cs="宋体"/>
          <w:spacing w:val="11"/>
          <w:sz w:val="21"/>
          <w:szCs w:val="21"/>
        </w:rPr>
        <w:t>.</w:t>
      </w:r>
      <w:r>
        <w:rPr>
          <w:rFonts w:hint="eastAsia" w:ascii="宋体" w:hAnsi="宋体" w:eastAsia="宋体" w:cs="宋体"/>
          <w:spacing w:val="11"/>
          <w:sz w:val="21"/>
          <w:szCs w:val="21"/>
          <w:lang w:val="en-US" w:eastAsia="zh-CN"/>
        </w:rPr>
        <w:t>2</w:t>
      </w:r>
      <w:r>
        <w:rPr>
          <w:rFonts w:hint="eastAsia" w:ascii="宋体" w:hAnsi="宋体" w:eastAsia="宋体" w:cs="宋体"/>
          <w:spacing w:val="11"/>
          <w:sz w:val="21"/>
          <w:szCs w:val="21"/>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8" w:firstLineChars="200"/>
        <w:textAlignment w:val="auto"/>
        <w:rPr>
          <w:rFonts w:hint="eastAsia" w:ascii="宋体" w:hAnsi="宋体" w:eastAsia="宋体" w:cs="宋体"/>
          <w:sz w:val="21"/>
          <w:szCs w:val="21"/>
        </w:rPr>
      </w:pPr>
      <w:r>
        <w:rPr>
          <w:rFonts w:hint="eastAsia" w:ascii="宋体" w:hAnsi="宋体" w:eastAsia="宋体" w:cs="宋体"/>
          <w:spacing w:val="2"/>
          <w:sz w:val="21"/>
          <w:szCs w:val="21"/>
        </w:rPr>
        <w:t>依据《内河渔船法定检验技术规则(2019)》</w:t>
      </w:r>
      <w:r>
        <w:rPr>
          <w:rFonts w:hint="eastAsia" w:ascii="宋体" w:hAnsi="宋体" w:eastAsia="宋体" w:cs="宋体"/>
          <w:spacing w:val="2"/>
          <w:sz w:val="21"/>
          <w:szCs w:val="21"/>
          <w:lang w:val="en-US" w:eastAsia="zh-CN"/>
        </w:rPr>
        <w:t>及《吨位丈量规则（2022）》</w:t>
      </w:r>
      <w:r>
        <w:rPr>
          <w:rFonts w:hint="eastAsia" w:ascii="宋体" w:hAnsi="宋体" w:eastAsia="宋体" w:cs="宋体"/>
          <w:spacing w:val="2"/>
          <w:sz w:val="21"/>
          <w:szCs w:val="21"/>
        </w:rPr>
        <w:t>,</w:t>
      </w:r>
      <w:r>
        <w:rPr>
          <w:rFonts w:hint="eastAsia" w:ascii="宋体" w:hAnsi="宋体" w:eastAsia="宋体" w:cs="宋体"/>
          <w:sz w:val="21"/>
          <w:szCs w:val="21"/>
        </w:rPr>
        <w:t xml:space="preserve"> </w:t>
      </w:r>
      <w:r>
        <w:rPr>
          <w:rFonts w:hint="eastAsia" w:ascii="宋体" w:hAnsi="宋体" w:eastAsia="宋体" w:cs="宋体"/>
          <w:sz w:val="21"/>
          <w:szCs w:val="21"/>
          <w:lang w:eastAsia="zh-CN"/>
        </w:rPr>
        <w:t>证书中吨位值填写数字，取值精确到小数点后第 1 位，舍去第 2 位小数后部分，</w:t>
      </w:r>
      <w:r>
        <w:rPr>
          <w:rFonts w:hint="eastAsia" w:ascii="宋体" w:hAnsi="宋体" w:eastAsia="宋体" w:cs="宋体"/>
          <w:color w:val="0000FF"/>
          <w:sz w:val="21"/>
          <w:szCs w:val="21"/>
          <w:lang w:val="en-US" w:eastAsia="zh-CN"/>
        </w:rPr>
        <w:t>且</w:t>
      </w:r>
      <w:r>
        <w:rPr>
          <w:rFonts w:hint="eastAsia" w:ascii="宋体" w:hAnsi="宋体" w:eastAsia="宋体" w:cs="宋体"/>
          <w:sz w:val="21"/>
          <w:szCs w:val="21"/>
          <w:lang w:eastAsia="zh-CN"/>
        </w:rPr>
        <w:t>没有单位</w:t>
      </w:r>
      <w:r>
        <w:rPr>
          <w:rFonts w:hint="eastAsia" w:ascii="宋体" w:hAnsi="宋体" w:eastAsia="宋体" w:cs="宋体"/>
          <w:spacing w:val="-8"/>
          <w:sz w:val="21"/>
          <w:szCs w:val="21"/>
        </w:rPr>
        <w:t>。</w:t>
      </w:r>
      <w:r>
        <w:rPr>
          <w:rFonts w:hint="eastAsia" w:ascii="宋体" w:hAnsi="宋体" w:eastAsia="宋体" w:cs="宋体"/>
          <w:spacing w:val="28"/>
          <w:sz w:val="21"/>
          <w:szCs w:val="21"/>
          <w:lang w:eastAsia="zh-CN"/>
        </w:rPr>
        <w:t>（×）</w:t>
      </w:r>
      <w:r>
        <w:rPr>
          <w:rFonts w:hint="eastAsia" w:ascii="宋体" w:hAnsi="宋体" w:eastAsia="宋体" w:cs="宋体"/>
          <w:spacing w:val="10"/>
          <w:sz w:val="21"/>
          <w:szCs w:val="21"/>
        </w:rPr>
        <w:t xml:space="preserve"> </w:t>
      </w:r>
      <w:r>
        <w:rPr>
          <w:rFonts w:hint="eastAsia" w:ascii="宋体" w:hAnsi="宋体" w:eastAsia="宋体" w:cs="宋体"/>
          <w:spacing w:val="-29"/>
          <w:sz w:val="21"/>
          <w:szCs w:val="21"/>
        </w:rPr>
        <w:t>(</w:t>
      </w:r>
      <w:r>
        <w:rPr>
          <w:rFonts w:hint="eastAsia" w:ascii="宋体" w:hAnsi="宋体" w:eastAsia="宋体" w:cs="宋体"/>
          <w:spacing w:val="2"/>
          <w:sz w:val="21"/>
          <w:szCs w:val="21"/>
        </w:rPr>
        <w:t>命题依据</w:t>
      </w:r>
      <w:r>
        <w:rPr>
          <w:rFonts w:hint="eastAsia" w:ascii="宋体" w:hAnsi="宋体" w:eastAsia="宋体" w:cs="宋体"/>
          <w:spacing w:val="-29"/>
          <w:sz w:val="21"/>
          <w:szCs w:val="21"/>
        </w:rPr>
        <w:t>：《</w:t>
      </w:r>
      <w:r>
        <w:rPr>
          <w:rFonts w:hint="eastAsia" w:ascii="宋体" w:hAnsi="宋体" w:eastAsia="宋体" w:cs="宋体"/>
          <w:spacing w:val="2"/>
          <w:sz w:val="21"/>
          <w:szCs w:val="21"/>
        </w:rPr>
        <w:t>内河渔船法定检验技术规则</w:t>
      </w:r>
      <w:r>
        <w:rPr>
          <w:rFonts w:hint="eastAsia" w:ascii="宋体" w:hAnsi="宋体" w:eastAsia="宋体" w:cs="宋体"/>
          <w:spacing w:val="11"/>
          <w:sz w:val="21"/>
          <w:szCs w:val="21"/>
        </w:rPr>
        <w:t>(2019)》第</w:t>
      </w:r>
      <w:r>
        <w:rPr>
          <w:rFonts w:hint="eastAsia" w:ascii="宋体" w:hAnsi="宋体" w:eastAsia="宋体" w:cs="宋体"/>
          <w:spacing w:val="11"/>
          <w:sz w:val="21"/>
          <w:szCs w:val="21"/>
          <w:lang w:eastAsia="zh-CN"/>
        </w:rPr>
        <w:t>四</w:t>
      </w:r>
      <w:r>
        <w:rPr>
          <w:rFonts w:hint="eastAsia" w:ascii="宋体" w:hAnsi="宋体" w:eastAsia="宋体" w:cs="宋体"/>
          <w:spacing w:val="11"/>
          <w:sz w:val="21"/>
          <w:szCs w:val="21"/>
        </w:rPr>
        <w:t>篇</w:t>
      </w:r>
      <w:r>
        <w:rPr>
          <w:rFonts w:hint="eastAsia" w:ascii="宋体" w:hAnsi="宋体" w:eastAsia="宋体" w:cs="宋体"/>
          <w:spacing w:val="11"/>
          <w:sz w:val="21"/>
          <w:szCs w:val="21"/>
          <w:lang w:val="en-US" w:eastAsia="zh-CN"/>
        </w:rPr>
        <w:t>第一章</w:t>
      </w:r>
      <w:r>
        <w:rPr>
          <w:rFonts w:hint="eastAsia" w:ascii="宋体" w:hAnsi="宋体" w:eastAsia="宋体" w:cs="宋体"/>
          <w:spacing w:val="11"/>
          <w:sz w:val="21"/>
          <w:szCs w:val="21"/>
        </w:rPr>
        <w:t>1.1.</w:t>
      </w:r>
      <w:r>
        <w:rPr>
          <w:rFonts w:hint="eastAsia" w:ascii="宋体" w:hAnsi="宋体" w:eastAsia="宋体" w:cs="宋体"/>
          <w:spacing w:val="11"/>
          <w:sz w:val="21"/>
          <w:szCs w:val="21"/>
          <w:lang w:val="en-US" w:eastAsia="zh-CN"/>
        </w:rPr>
        <w:t>3</w:t>
      </w:r>
      <w:r>
        <w:rPr>
          <w:rFonts w:hint="eastAsia" w:ascii="宋体" w:hAnsi="宋体" w:eastAsia="宋体" w:cs="宋体"/>
          <w:spacing w:val="11"/>
          <w:sz w:val="21"/>
          <w:szCs w:val="21"/>
        </w:rPr>
        <w:t>.</w:t>
      </w:r>
      <w:r>
        <w:rPr>
          <w:rFonts w:hint="eastAsia" w:ascii="宋体" w:hAnsi="宋体" w:eastAsia="宋体" w:cs="宋体"/>
          <w:spacing w:val="11"/>
          <w:sz w:val="21"/>
          <w:szCs w:val="21"/>
          <w:lang w:val="en-US" w:eastAsia="zh-CN"/>
        </w:rPr>
        <w:t>3，</w:t>
      </w:r>
      <w:r>
        <w:rPr>
          <w:rFonts w:hint="eastAsia" w:ascii="宋体" w:hAnsi="宋体" w:eastAsia="宋体" w:cs="宋体"/>
          <w:spacing w:val="11"/>
          <w:sz w:val="21"/>
          <w:szCs w:val="21"/>
        </w:rPr>
        <w:t>1.1.</w:t>
      </w:r>
      <w:r>
        <w:rPr>
          <w:rFonts w:hint="eastAsia" w:ascii="宋体" w:hAnsi="宋体" w:eastAsia="宋体" w:cs="宋体"/>
          <w:spacing w:val="11"/>
          <w:sz w:val="21"/>
          <w:szCs w:val="21"/>
          <w:lang w:val="en-US" w:eastAsia="zh-CN"/>
        </w:rPr>
        <w:t>3</w:t>
      </w:r>
      <w:r>
        <w:rPr>
          <w:rFonts w:hint="eastAsia" w:ascii="宋体" w:hAnsi="宋体" w:eastAsia="宋体" w:cs="宋体"/>
          <w:spacing w:val="11"/>
          <w:sz w:val="21"/>
          <w:szCs w:val="21"/>
        </w:rPr>
        <w:t>.</w:t>
      </w:r>
      <w:r>
        <w:rPr>
          <w:rFonts w:hint="eastAsia" w:ascii="宋体" w:hAnsi="宋体" w:eastAsia="宋体" w:cs="宋体"/>
          <w:spacing w:val="11"/>
          <w:sz w:val="21"/>
          <w:szCs w:val="21"/>
          <w:lang w:val="en-US" w:eastAsia="zh-CN"/>
        </w:rPr>
        <w:t>4</w:t>
      </w:r>
      <w:r>
        <w:rPr>
          <w:rFonts w:hint="eastAsia" w:ascii="宋体" w:hAnsi="宋体" w:eastAsia="宋体" w:cs="宋体"/>
          <w:spacing w:val="11"/>
          <w:sz w:val="21"/>
          <w:szCs w:val="21"/>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8" w:firstLineChars="200"/>
        <w:textAlignment w:val="auto"/>
        <w:rPr>
          <w:rFonts w:hint="eastAsia" w:ascii="宋体" w:hAnsi="宋体" w:eastAsia="宋体" w:cs="宋体"/>
          <w:sz w:val="21"/>
          <w:szCs w:val="21"/>
        </w:rPr>
      </w:pPr>
      <w:r>
        <w:rPr>
          <w:rFonts w:hint="eastAsia" w:ascii="宋体" w:hAnsi="宋体" w:eastAsia="宋体" w:cs="宋体"/>
          <w:spacing w:val="2"/>
          <w:sz w:val="21"/>
          <w:szCs w:val="21"/>
        </w:rPr>
        <w:t>依据《内河渔船法定检验技术规则(2019)》</w:t>
      </w:r>
      <w:r>
        <w:rPr>
          <w:rFonts w:hint="eastAsia" w:ascii="宋体" w:hAnsi="宋体" w:eastAsia="宋体" w:cs="宋体"/>
          <w:spacing w:val="2"/>
          <w:sz w:val="21"/>
          <w:szCs w:val="21"/>
          <w:lang w:val="en-US" w:eastAsia="zh-CN"/>
        </w:rPr>
        <w:t>及《吨位丈量规则（2022）》</w:t>
      </w:r>
      <w:r>
        <w:rPr>
          <w:rFonts w:hint="eastAsia" w:ascii="宋体" w:hAnsi="宋体" w:eastAsia="宋体" w:cs="宋体"/>
          <w:spacing w:val="2"/>
          <w:sz w:val="21"/>
          <w:szCs w:val="21"/>
        </w:rPr>
        <w:t>,</w:t>
      </w:r>
      <w:r>
        <w:rPr>
          <w:rFonts w:hint="eastAsia" w:ascii="宋体" w:hAnsi="宋体" w:eastAsia="宋体" w:cs="宋体"/>
          <w:sz w:val="21"/>
          <w:szCs w:val="21"/>
        </w:rPr>
        <w:t xml:space="preserve"> </w:t>
      </w:r>
      <w:r>
        <w:rPr>
          <w:rFonts w:hint="eastAsia" w:ascii="宋体" w:hAnsi="宋体" w:eastAsia="宋体" w:cs="宋体"/>
          <w:sz w:val="21"/>
          <w:szCs w:val="21"/>
          <w:lang w:eastAsia="zh-CN"/>
        </w:rPr>
        <w:t>总吨位：系</w:t>
      </w:r>
      <w:r>
        <w:rPr>
          <w:rFonts w:hint="eastAsia" w:ascii="宋体" w:hAnsi="宋体" w:eastAsia="宋体" w:cs="宋体"/>
          <w:spacing w:val="2"/>
          <w:sz w:val="21"/>
          <w:szCs w:val="21"/>
        </w:rPr>
        <w:t>指量吨甲板下所有围壁的总容积。</w:t>
      </w:r>
      <w:r>
        <w:rPr>
          <w:rFonts w:hint="eastAsia" w:ascii="宋体" w:hAnsi="宋体" w:eastAsia="宋体" w:cs="宋体"/>
          <w:spacing w:val="2"/>
          <w:sz w:val="21"/>
          <w:szCs w:val="21"/>
          <w:lang w:eastAsia="zh-CN"/>
        </w:rPr>
        <w:t>（×）</w:t>
      </w:r>
      <w:r>
        <w:rPr>
          <w:rFonts w:hint="eastAsia" w:ascii="宋体" w:hAnsi="宋体" w:eastAsia="宋体" w:cs="宋体"/>
          <w:spacing w:val="10"/>
          <w:sz w:val="21"/>
          <w:szCs w:val="21"/>
        </w:rPr>
        <w:t xml:space="preserve"> </w:t>
      </w:r>
      <w:r>
        <w:rPr>
          <w:rFonts w:hint="eastAsia" w:ascii="宋体" w:hAnsi="宋体" w:eastAsia="宋体" w:cs="宋体"/>
          <w:spacing w:val="-29"/>
          <w:sz w:val="21"/>
          <w:szCs w:val="21"/>
        </w:rPr>
        <w:t>(</w:t>
      </w:r>
      <w:r>
        <w:rPr>
          <w:rFonts w:hint="eastAsia" w:ascii="宋体" w:hAnsi="宋体" w:eastAsia="宋体" w:cs="宋体"/>
          <w:spacing w:val="2"/>
          <w:sz w:val="21"/>
          <w:szCs w:val="21"/>
        </w:rPr>
        <w:t>命题依据</w:t>
      </w:r>
      <w:r>
        <w:rPr>
          <w:rFonts w:hint="eastAsia" w:ascii="宋体" w:hAnsi="宋体" w:eastAsia="宋体" w:cs="宋体"/>
          <w:spacing w:val="-29"/>
          <w:sz w:val="21"/>
          <w:szCs w:val="21"/>
        </w:rPr>
        <w:t>：</w:t>
      </w:r>
      <w:r>
        <w:rPr>
          <w:rFonts w:hint="eastAsia" w:ascii="宋体" w:hAnsi="宋体" w:eastAsia="宋体" w:cs="宋体"/>
          <w:spacing w:val="135"/>
          <w:sz w:val="21"/>
          <w:szCs w:val="21"/>
        </w:rPr>
        <w:t xml:space="preserve"> </w:t>
      </w:r>
      <w:r>
        <w:rPr>
          <w:rFonts w:hint="eastAsia" w:ascii="宋体" w:hAnsi="宋体" w:eastAsia="宋体" w:cs="宋体"/>
          <w:spacing w:val="-29"/>
          <w:sz w:val="21"/>
          <w:szCs w:val="21"/>
        </w:rPr>
        <w:t>《</w:t>
      </w:r>
      <w:r>
        <w:rPr>
          <w:rFonts w:hint="eastAsia" w:ascii="宋体" w:hAnsi="宋体" w:eastAsia="宋体" w:cs="宋体"/>
          <w:spacing w:val="2"/>
          <w:sz w:val="21"/>
          <w:szCs w:val="21"/>
        </w:rPr>
        <w:t>内河渔船法定检验技术规则</w:t>
      </w:r>
      <w:r>
        <w:rPr>
          <w:rFonts w:hint="eastAsia" w:ascii="宋体" w:hAnsi="宋体" w:eastAsia="宋体" w:cs="宋体"/>
          <w:spacing w:val="11"/>
          <w:sz w:val="21"/>
          <w:szCs w:val="21"/>
        </w:rPr>
        <w:t>(2019)》第</w:t>
      </w:r>
      <w:r>
        <w:rPr>
          <w:rFonts w:hint="eastAsia" w:ascii="宋体" w:hAnsi="宋体" w:eastAsia="宋体" w:cs="宋体"/>
          <w:spacing w:val="11"/>
          <w:sz w:val="21"/>
          <w:szCs w:val="21"/>
          <w:lang w:eastAsia="zh-CN"/>
        </w:rPr>
        <w:t>四</w:t>
      </w:r>
      <w:r>
        <w:rPr>
          <w:rFonts w:hint="eastAsia" w:ascii="宋体" w:hAnsi="宋体" w:eastAsia="宋体" w:cs="宋体"/>
          <w:spacing w:val="11"/>
          <w:sz w:val="21"/>
          <w:szCs w:val="21"/>
        </w:rPr>
        <w:t>篇</w:t>
      </w:r>
      <w:r>
        <w:rPr>
          <w:rFonts w:hint="eastAsia" w:ascii="宋体" w:hAnsi="宋体" w:eastAsia="宋体" w:cs="宋体"/>
          <w:spacing w:val="11"/>
          <w:sz w:val="21"/>
          <w:szCs w:val="21"/>
          <w:lang w:val="en-US" w:eastAsia="zh-CN"/>
        </w:rPr>
        <w:t>第一章</w:t>
      </w:r>
      <w:r>
        <w:rPr>
          <w:rFonts w:hint="eastAsia" w:ascii="宋体" w:hAnsi="宋体" w:eastAsia="宋体" w:cs="宋体"/>
          <w:spacing w:val="11"/>
          <w:sz w:val="21"/>
          <w:szCs w:val="21"/>
        </w:rPr>
        <w:t>1.</w:t>
      </w:r>
      <w:r>
        <w:rPr>
          <w:rFonts w:hint="eastAsia" w:ascii="宋体" w:hAnsi="宋体" w:eastAsia="宋体" w:cs="宋体"/>
          <w:spacing w:val="11"/>
          <w:sz w:val="21"/>
          <w:szCs w:val="21"/>
          <w:lang w:val="en-US" w:eastAsia="zh-CN"/>
        </w:rPr>
        <w:t>2</w:t>
      </w:r>
      <w:r>
        <w:rPr>
          <w:rFonts w:hint="eastAsia" w:ascii="宋体" w:hAnsi="宋体" w:eastAsia="宋体" w:cs="宋体"/>
          <w:spacing w:val="11"/>
          <w:sz w:val="21"/>
          <w:szCs w:val="21"/>
        </w:rPr>
        <w:t>.</w:t>
      </w:r>
      <w:r>
        <w:rPr>
          <w:rFonts w:hint="eastAsia" w:ascii="宋体" w:hAnsi="宋体" w:eastAsia="宋体" w:cs="宋体"/>
          <w:spacing w:val="11"/>
          <w:sz w:val="21"/>
          <w:szCs w:val="21"/>
          <w:lang w:val="en-US" w:eastAsia="zh-CN"/>
        </w:rPr>
        <w:t>2</w:t>
      </w:r>
      <w:r>
        <w:rPr>
          <w:rFonts w:hint="eastAsia" w:ascii="宋体" w:hAnsi="宋体" w:eastAsia="宋体" w:cs="宋体"/>
          <w:spacing w:val="11"/>
          <w:sz w:val="21"/>
          <w:szCs w:val="21"/>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8" w:firstLineChars="200"/>
        <w:textAlignment w:val="auto"/>
        <w:rPr>
          <w:rFonts w:hint="eastAsia" w:ascii="宋体" w:hAnsi="宋体" w:eastAsia="宋体" w:cs="宋体"/>
          <w:sz w:val="21"/>
          <w:szCs w:val="21"/>
        </w:rPr>
      </w:pPr>
      <w:r>
        <w:rPr>
          <w:rFonts w:hint="eastAsia" w:ascii="宋体" w:hAnsi="宋体" w:eastAsia="宋体" w:cs="宋体"/>
          <w:spacing w:val="2"/>
          <w:sz w:val="21"/>
          <w:szCs w:val="21"/>
        </w:rPr>
        <w:t>依据《内河渔船法定检验技术规则(2019)》</w:t>
      </w:r>
      <w:r>
        <w:rPr>
          <w:rFonts w:hint="eastAsia" w:ascii="宋体" w:hAnsi="宋体" w:eastAsia="宋体" w:cs="宋体"/>
          <w:spacing w:val="2"/>
          <w:sz w:val="21"/>
          <w:szCs w:val="21"/>
          <w:lang w:val="en-US" w:eastAsia="zh-CN"/>
        </w:rPr>
        <w:t>及《吨位丈量规则（2022）》</w:t>
      </w:r>
      <w:r>
        <w:rPr>
          <w:rFonts w:hint="eastAsia" w:ascii="宋体" w:hAnsi="宋体" w:eastAsia="宋体" w:cs="宋体"/>
          <w:spacing w:val="2"/>
          <w:sz w:val="21"/>
          <w:szCs w:val="21"/>
        </w:rPr>
        <w:t>,</w:t>
      </w:r>
      <w:r>
        <w:rPr>
          <w:rFonts w:hint="eastAsia" w:ascii="宋体" w:hAnsi="宋体" w:eastAsia="宋体" w:cs="宋体"/>
          <w:sz w:val="21"/>
          <w:szCs w:val="21"/>
        </w:rPr>
        <w:t xml:space="preserve"> </w:t>
      </w:r>
      <w:r>
        <w:rPr>
          <w:rFonts w:hint="eastAsia" w:ascii="宋体" w:hAnsi="宋体" w:eastAsia="宋体" w:cs="宋体"/>
          <w:sz w:val="21"/>
          <w:szCs w:val="21"/>
          <w:lang w:eastAsia="zh-CN"/>
        </w:rPr>
        <w:t>上层建筑的高度：系指在船侧从上层建筑甲板横梁顶到上甲板横梁顶的最大垂直距离。</w:t>
      </w:r>
      <w:r>
        <w:rPr>
          <w:rFonts w:hint="eastAsia" w:ascii="宋体" w:hAnsi="宋体" w:eastAsia="宋体" w:cs="宋体"/>
          <w:spacing w:val="2"/>
          <w:sz w:val="21"/>
          <w:szCs w:val="21"/>
          <w:lang w:eastAsia="zh-CN"/>
        </w:rPr>
        <w:t>（×）</w:t>
      </w:r>
      <w:r>
        <w:rPr>
          <w:rFonts w:hint="eastAsia" w:ascii="宋体" w:hAnsi="宋体" w:eastAsia="宋体" w:cs="宋体"/>
          <w:spacing w:val="10"/>
          <w:sz w:val="21"/>
          <w:szCs w:val="21"/>
        </w:rPr>
        <w:t xml:space="preserve"> </w:t>
      </w:r>
      <w:r>
        <w:rPr>
          <w:rFonts w:hint="eastAsia" w:ascii="宋体" w:hAnsi="宋体" w:eastAsia="宋体" w:cs="宋体"/>
          <w:spacing w:val="-29"/>
          <w:sz w:val="21"/>
          <w:szCs w:val="21"/>
        </w:rPr>
        <w:t>(</w:t>
      </w:r>
      <w:r>
        <w:rPr>
          <w:rFonts w:hint="eastAsia" w:ascii="宋体" w:hAnsi="宋体" w:eastAsia="宋体" w:cs="宋体"/>
          <w:spacing w:val="2"/>
          <w:sz w:val="21"/>
          <w:szCs w:val="21"/>
        </w:rPr>
        <w:t>命题依据</w:t>
      </w:r>
      <w:r>
        <w:rPr>
          <w:rFonts w:hint="eastAsia" w:ascii="宋体" w:hAnsi="宋体" w:eastAsia="宋体" w:cs="宋体"/>
          <w:spacing w:val="-29"/>
          <w:sz w:val="21"/>
          <w:szCs w:val="21"/>
        </w:rPr>
        <w:t>：《</w:t>
      </w:r>
      <w:r>
        <w:rPr>
          <w:rFonts w:hint="eastAsia" w:ascii="宋体" w:hAnsi="宋体" w:eastAsia="宋体" w:cs="宋体"/>
          <w:spacing w:val="2"/>
          <w:sz w:val="21"/>
          <w:szCs w:val="21"/>
        </w:rPr>
        <w:t>内河渔船法定检验技术规则</w:t>
      </w:r>
      <w:r>
        <w:rPr>
          <w:rFonts w:hint="eastAsia" w:ascii="宋体" w:hAnsi="宋体" w:eastAsia="宋体" w:cs="宋体"/>
          <w:spacing w:val="11"/>
          <w:sz w:val="21"/>
          <w:szCs w:val="21"/>
        </w:rPr>
        <w:t>(2019)》第</w:t>
      </w:r>
      <w:r>
        <w:rPr>
          <w:rFonts w:hint="eastAsia" w:ascii="宋体" w:hAnsi="宋体" w:eastAsia="宋体" w:cs="宋体"/>
          <w:spacing w:val="11"/>
          <w:sz w:val="21"/>
          <w:szCs w:val="21"/>
          <w:lang w:eastAsia="zh-CN"/>
        </w:rPr>
        <w:t>四</w:t>
      </w:r>
      <w:r>
        <w:rPr>
          <w:rFonts w:hint="eastAsia" w:ascii="宋体" w:hAnsi="宋体" w:eastAsia="宋体" w:cs="宋体"/>
          <w:spacing w:val="11"/>
          <w:sz w:val="21"/>
          <w:szCs w:val="21"/>
        </w:rPr>
        <w:t>篇</w:t>
      </w:r>
      <w:r>
        <w:rPr>
          <w:rFonts w:hint="eastAsia" w:ascii="宋体" w:hAnsi="宋体" w:eastAsia="宋体" w:cs="宋体"/>
          <w:spacing w:val="11"/>
          <w:sz w:val="21"/>
          <w:szCs w:val="21"/>
          <w:lang w:val="en-US" w:eastAsia="zh-CN"/>
        </w:rPr>
        <w:t>第一章</w:t>
      </w:r>
      <w:r>
        <w:rPr>
          <w:rFonts w:hint="eastAsia" w:ascii="宋体" w:hAnsi="宋体" w:eastAsia="宋体" w:cs="宋体"/>
          <w:spacing w:val="11"/>
          <w:sz w:val="21"/>
          <w:szCs w:val="21"/>
        </w:rPr>
        <w:t>1.</w:t>
      </w:r>
      <w:r>
        <w:rPr>
          <w:rFonts w:hint="eastAsia" w:ascii="宋体" w:hAnsi="宋体" w:eastAsia="宋体" w:cs="宋体"/>
          <w:spacing w:val="11"/>
          <w:sz w:val="21"/>
          <w:szCs w:val="21"/>
          <w:lang w:val="en-US" w:eastAsia="zh-CN"/>
        </w:rPr>
        <w:t>2</w:t>
      </w:r>
      <w:r>
        <w:rPr>
          <w:rFonts w:hint="eastAsia" w:ascii="宋体" w:hAnsi="宋体" w:eastAsia="宋体" w:cs="宋体"/>
          <w:spacing w:val="11"/>
          <w:sz w:val="21"/>
          <w:szCs w:val="21"/>
        </w:rPr>
        <w:t>.</w:t>
      </w:r>
      <w:r>
        <w:rPr>
          <w:rFonts w:hint="eastAsia" w:ascii="宋体" w:hAnsi="宋体" w:eastAsia="宋体" w:cs="宋体"/>
          <w:spacing w:val="11"/>
          <w:sz w:val="21"/>
          <w:szCs w:val="21"/>
          <w:lang w:val="en-US" w:eastAsia="zh-CN"/>
        </w:rPr>
        <w:t>6</w:t>
      </w:r>
      <w:r>
        <w:rPr>
          <w:rFonts w:hint="eastAsia" w:ascii="宋体" w:hAnsi="宋体" w:eastAsia="宋体" w:cs="宋体"/>
          <w:spacing w:val="11"/>
          <w:sz w:val="21"/>
          <w:szCs w:val="21"/>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8" w:firstLineChars="200"/>
        <w:textAlignment w:val="auto"/>
        <w:rPr>
          <w:rFonts w:hint="eastAsia" w:ascii="宋体" w:hAnsi="宋体" w:eastAsia="宋体" w:cs="宋体"/>
          <w:sz w:val="21"/>
          <w:szCs w:val="21"/>
        </w:rPr>
      </w:pPr>
      <w:r>
        <w:rPr>
          <w:rFonts w:hint="eastAsia" w:ascii="宋体" w:hAnsi="宋体" w:eastAsia="宋体" w:cs="宋体"/>
          <w:spacing w:val="2"/>
          <w:sz w:val="21"/>
          <w:szCs w:val="21"/>
        </w:rPr>
        <w:t>依据《内河渔船法定检验技术规则(2019)》,</w:t>
      </w:r>
      <w:r>
        <w:rPr>
          <w:rFonts w:hint="eastAsia" w:ascii="宋体" w:hAnsi="宋体" w:eastAsia="宋体" w:cs="宋体"/>
          <w:sz w:val="21"/>
          <w:szCs w:val="21"/>
        </w:rPr>
        <w:t xml:space="preserve"> </w:t>
      </w:r>
      <w:r>
        <w:rPr>
          <w:rFonts w:hint="eastAsia" w:ascii="宋体" w:hAnsi="宋体" w:eastAsia="宋体" w:cs="宋体"/>
          <w:sz w:val="21"/>
          <w:szCs w:val="21"/>
          <w:lang w:eastAsia="zh-CN"/>
        </w:rPr>
        <w:t>电缆、舵链等穿过防撞舱壁时，应沿干舷甲板下表面铺设。</w:t>
      </w:r>
      <w:r>
        <w:rPr>
          <w:rFonts w:hint="eastAsia" w:ascii="宋体" w:hAnsi="宋体" w:eastAsia="宋体" w:cs="宋体"/>
          <w:spacing w:val="2"/>
          <w:sz w:val="21"/>
          <w:szCs w:val="21"/>
          <w:lang w:eastAsia="zh-CN"/>
        </w:rPr>
        <w:t>（×）</w:t>
      </w:r>
      <w:r>
        <w:rPr>
          <w:rFonts w:hint="eastAsia" w:ascii="宋体" w:hAnsi="宋体" w:eastAsia="宋体" w:cs="宋体"/>
          <w:spacing w:val="10"/>
          <w:sz w:val="21"/>
          <w:szCs w:val="21"/>
        </w:rPr>
        <w:t xml:space="preserve"> </w:t>
      </w:r>
      <w:r>
        <w:rPr>
          <w:rFonts w:hint="eastAsia" w:ascii="宋体" w:hAnsi="宋体" w:eastAsia="宋体" w:cs="宋体"/>
          <w:spacing w:val="-29"/>
          <w:sz w:val="21"/>
          <w:szCs w:val="21"/>
        </w:rPr>
        <w:t>(</w:t>
      </w:r>
      <w:r>
        <w:rPr>
          <w:rFonts w:hint="eastAsia" w:ascii="宋体" w:hAnsi="宋体" w:eastAsia="宋体" w:cs="宋体"/>
          <w:spacing w:val="2"/>
          <w:sz w:val="21"/>
          <w:szCs w:val="21"/>
        </w:rPr>
        <w:t>命题依据</w:t>
      </w:r>
      <w:r>
        <w:rPr>
          <w:rFonts w:hint="eastAsia" w:ascii="宋体" w:hAnsi="宋体" w:eastAsia="宋体" w:cs="宋体"/>
          <w:spacing w:val="-29"/>
          <w:sz w:val="21"/>
          <w:szCs w:val="21"/>
        </w:rPr>
        <w:t>：《</w:t>
      </w:r>
      <w:r>
        <w:rPr>
          <w:rFonts w:hint="eastAsia" w:ascii="宋体" w:hAnsi="宋体" w:eastAsia="宋体" w:cs="宋体"/>
          <w:spacing w:val="2"/>
          <w:sz w:val="21"/>
          <w:szCs w:val="21"/>
        </w:rPr>
        <w:t>内河渔船法定检验技术规则</w:t>
      </w:r>
      <w:r>
        <w:rPr>
          <w:rFonts w:hint="eastAsia" w:ascii="宋体" w:hAnsi="宋体" w:eastAsia="宋体" w:cs="宋体"/>
          <w:spacing w:val="11"/>
          <w:sz w:val="21"/>
          <w:szCs w:val="21"/>
        </w:rPr>
        <w:t>(2019)》第</w:t>
      </w:r>
      <w:r>
        <w:rPr>
          <w:rFonts w:hint="eastAsia" w:ascii="宋体" w:hAnsi="宋体" w:eastAsia="宋体" w:cs="宋体"/>
          <w:spacing w:val="11"/>
          <w:sz w:val="21"/>
          <w:szCs w:val="21"/>
          <w:lang w:val="en-US" w:eastAsia="zh-CN"/>
        </w:rPr>
        <w:t>五</w:t>
      </w:r>
      <w:r>
        <w:rPr>
          <w:rFonts w:hint="eastAsia" w:ascii="宋体" w:hAnsi="宋体" w:eastAsia="宋体" w:cs="宋体"/>
          <w:spacing w:val="11"/>
          <w:sz w:val="21"/>
          <w:szCs w:val="21"/>
        </w:rPr>
        <w:t>篇</w:t>
      </w:r>
      <w:r>
        <w:rPr>
          <w:rFonts w:hint="eastAsia" w:ascii="宋体" w:hAnsi="宋体" w:eastAsia="宋体" w:cs="宋体"/>
          <w:spacing w:val="11"/>
          <w:sz w:val="21"/>
          <w:szCs w:val="21"/>
          <w:lang w:val="en-US" w:eastAsia="zh-CN"/>
        </w:rPr>
        <w:t>第二章2</w:t>
      </w:r>
      <w:r>
        <w:rPr>
          <w:rFonts w:hint="eastAsia" w:ascii="宋体" w:hAnsi="宋体" w:eastAsia="宋体" w:cs="宋体"/>
          <w:spacing w:val="11"/>
          <w:sz w:val="21"/>
          <w:szCs w:val="21"/>
        </w:rPr>
        <w:t>.</w:t>
      </w:r>
      <w:r>
        <w:rPr>
          <w:rFonts w:hint="eastAsia" w:ascii="宋体" w:hAnsi="宋体" w:eastAsia="宋体" w:cs="宋体"/>
          <w:spacing w:val="11"/>
          <w:sz w:val="21"/>
          <w:szCs w:val="21"/>
          <w:lang w:val="en-US" w:eastAsia="zh-CN"/>
        </w:rPr>
        <w:t>3</w:t>
      </w:r>
      <w:r>
        <w:rPr>
          <w:rFonts w:hint="eastAsia" w:ascii="宋体" w:hAnsi="宋体" w:eastAsia="宋体" w:cs="宋体"/>
          <w:spacing w:val="11"/>
          <w:sz w:val="21"/>
          <w:szCs w:val="21"/>
        </w:rPr>
        <w:t>.</w:t>
      </w:r>
      <w:r>
        <w:rPr>
          <w:rFonts w:hint="eastAsia" w:ascii="宋体" w:hAnsi="宋体" w:eastAsia="宋体" w:cs="宋体"/>
          <w:spacing w:val="11"/>
          <w:sz w:val="21"/>
          <w:szCs w:val="21"/>
          <w:lang w:val="en-US" w:eastAsia="zh-CN"/>
        </w:rPr>
        <w:t>4</w:t>
      </w:r>
      <w:r>
        <w:rPr>
          <w:rFonts w:hint="eastAsia" w:ascii="宋体" w:hAnsi="宋体" w:eastAsia="宋体" w:cs="宋体"/>
          <w:spacing w:val="11"/>
          <w:sz w:val="21"/>
          <w:szCs w:val="21"/>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320" w:lineRule="atLeast"/>
        <w:ind w:firstLine="428" w:firstLineChars="200"/>
        <w:textAlignment w:val="auto"/>
        <w:rPr>
          <w:rFonts w:hint="eastAsia" w:ascii="宋体" w:hAnsi="宋体" w:eastAsia="宋体" w:cs="宋体"/>
          <w:color w:val="auto"/>
          <w:sz w:val="21"/>
          <w:szCs w:val="21"/>
          <w:lang w:val="en-US" w:eastAsia="zh-CN"/>
        </w:rPr>
      </w:pPr>
      <w:bookmarkStart w:id="1" w:name="_GoBack"/>
      <w:bookmarkEnd w:id="1"/>
      <w:r>
        <w:rPr>
          <w:rFonts w:hint="eastAsia" w:ascii="宋体" w:hAnsi="宋体" w:eastAsia="宋体" w:cs="宋体"/>
          <w:spacing w:val="2"/>
          <w:sz w:val="21"/>
          <w:szCs w:val="21"/>
        </w:rPr>
        <w:t>依据《内河渔船法定检验技术规则(2019)》</w:t>
      </w:r>
      <w:r>
        <w:rPr>
          <w:rFonts w:hint="eastAsia" w:ascii="宋体" w:hAnsi="宋体" w:eastAsia="宋体" w:cs="宋体"/>
          <w:spacing w:val="2"/>
          <w:sz w:val="21"/>
          <w:szCs w:val="21"/>
          <w:lang w:val="en-US" w:eastAsia="zh-CN"/>
        </w:rPr>
        <w:t>及《吨位丈量规则（2022）》</w:t>
      </w:r>
      <w:r>
        <w:rPr>
          <w:rFonts w:hint="eastAsia" w:ascii="宋体" w:hAnsi="宋体" w:eastAsia="宋体" w:cs="宋体"/>
          <w:spacing w:val="2"/>
          <w:sz w:val="21"/>
          <w:szCs w:val="21"/>
        </w:rPr>
        <w:t>,</w:t>
      </w:r>
      <w:r>
        <w:rPr>
          <w:rFonts w:hint="eastAsia" w:ascii="宋体" w:hAnsi="宋体" w:eastAsia="宋体" w:cs="宋体"/>
          <w:sz w:val="21"/>
          <w:szCs w:val="21"/>
        </w:rPr>
        <w:t xml:space="preserve"> </w:t>
      </w:r>
      <w:r>
        <w:rPr>
          <w:rFonts w:hint="eastAsia" w:ascii="宋体" w:hAnsi="宋体" w:eastAsia="宋体" w:cs="宋体"/>
          <w:sz w:val="21"/>
          <w:szCs w:val="21"/>
          <w:lang w:eastAsia="zh-CN"/>
        </w:rPr>
        <w:t>操舵装置应灵活可靠，不应发生滑脱走链及振动等异常现象，座舱机最大舵角应限制在 3</w:t>
      </w:r>
      <w:r>
        <w:rPr>
          <w:rFonts w:hint="eastAsia" w:ascii="宋体" w:hAnsi="宋体" w:eastAsia="宋体" w:cs="宋体"/>
          <w:sz w:val="21"/>
          <w:szCs w:val="21"/>
          <w:lang w:val="en-US" w:eastAsia="zh-CN"/>
        </w:rPr>
        <w:t>0</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35</w:t>
      </w:r>
      <w:r>
        <w:rPr>
          <w:rFonts w:hint="eastAsia" w:ascii="宋体" w:hAnsi="宋体" w:eastAsia="宋体" w:cs="宋体"/>
          <w:sz w:val="21"/>
          <w:szCs w:val="21"/>
          <w:lang w:eastAsia="zh-CN"/>
        </w:rPr>
        <w:t>°范围以内。</w:t>
      </w:r>
      <w:r>
        <w:rPr>
          <w:rFonts w:hint="eastAsia" w:ascii="宋体" w:hAnsi="宋体" w:eastAsia="宋体" w:cs="宋体"/>
          <w:spacing w:val="2"/>
          <w:sz w:val="21"/>
          <w:szCs w:val="21"/>
          <w:lang w:eastAsia="zh-CN"/>
        </w:rPr>
        <w:t>（×）</w:t>
      </w:r>
      <w:r>
        <w:rPr>
          <w:rFonts w:hint="eastAsia" w:ascii="宋体" w:hAnsi="宋体" w:eastAsia="宋体" w:cs="宋体"/>
          <w:spacing w:val="10"/>
          <w:sz w:val="21"/>
          <w:szCs w:val="21"/>
        </w:rPr>
        <w:t xml:space="preserve"> </w:t>
      </w:r>
      <w:r>
        <w:rPr>
          <w:rFonts w:hint="eastAsia" w:ascii="宋体" w:hAnsi="宋体" w:eastAsia="宋体" w:cs="宋体"/>
          <w:spacing w:val="-29"/>
          <w:sz w:val="21"/>
          <w:szCs w:val="21"/>
        </w:rPr>
        <w:t>(</w:t>
      </w:r>
      <w:r>
        <w:rPr>
          <w:rFonts w:hint="eastAsia" w:ascii="宋体" w:hAnsi="宋体" w:eastAsia="宋体" w:cs="宋体"/>
          <w:spacing w:val="2"/>
          <w:sz w:val="21"/>
          <w:szCs w:val="21"/>
        </w:rPr>
        <w:t>命题依据</w:t>
      </w:r>
      <w:r>
        <w:rPr>
          <w:rFonts w:hint="eastAsia" w:ascii="宋体" w:hAnsi="宋体" w:eastAsia="宋体" w:cs="宋体"/>
          <w:spacing w:val="-29"/>
          <w:sz w:val="21"/>
          <w:szCs w:val="21"/>
        </w:rPr>
        <w:t>：</w:t>
      </w:r>
      <w:r>
        <w:rPr>
          <w:rFonts w:hint="eastAsia" w:ascii="宋体" w:hAnsi="宋体" w:eastAsia="宋体" w:cs="宋体"/>
          <w:spacing w:val="19"/>
          <w:sz w:val="21"/>
          <w:szCs w:val="21"/>
        </w:rPr>
        <w:t>《</w:t>
      </w:r>
      <w:r>
        <w:rPr>
          <w:rFonts w:hint="eastAsia" w:ascii="宋体" w:hAnsi="宋体" w:eastAsia="宋体" w:cs="宋体"/>
          <w:spacing w:val="2"/>
          <w:sz w:val="21"/>
          <w:szCs w:val="21"/>
        </w:rPr>
        <w:t>内河渔船法定检验技术规则</w:t>
      </w:r>
      <w:r>
        <w:rPr>
          <w:rFonts w:hint="eastAsia" w:ascii="宋体" w:hAnsi="宋体" w:eastAsia="宋体" w:cs="宋体"/>
          <w:spacing w:val="11"/>
          <w:sz w:val="21"/>
          <w:szCs w:val="21"/>
        </w:rPr>
        <w:t>(2019)》第</w:t>
      </w:r>
      <w:r>
        <w:rPr>
          <w:rFonts w:hint="eastAsia" w:ascii="宋体" w:hAnsi="宋体" w:eastAsia="宋体" w:cs="宋体"/>
          <w:spacing w:val="11"/>
          <w:sz w:val="21"/>
          <w:szCs w:val="21"/>
          <w:lang w:eastAsia="zh-CN"/>
        </w:rPr>
        <w:t>五</w:t>
      </w:r>
      <w:r>
        <w:rPr>
          <w:rFonts w:hint="eastAsia" w:ascii="宋体" w:hAnsi="宋体" w:eastAsia="宋体" w:cs="宋体"/>
          <w:spacing w:val="11"/>
          <w:sz w:val="21"/>
          <w:szCs w:val="21"/>
        </w:rPr>
        <w:t>篇</w:t>
      </w:r>
      <w:r>
        <w:rPr>
          <w:rFonts w:hint="eastAsia" w:ascii="宋体" w:hAnsi="宋体" w:eastAsia="宋体" w:cs="宋体"/>
          <w:spacing w:val="11"/>
          <w:sz w:val="21"/>
          <w:szCs w:val="21"/>
          <w:lang w:val="en-US" w:eastAsia="zh-CN"/>
        </w:rPr>
        <w:t>第二章2</w:t>
      </w:r>
      <w:r>
        <w:rPr>
          <w:rFonts w:hint="eastAsia" w:ascii="宋体" w:hAnsi="宋体" w:eastAsia="宋体" w:cs="宋体"/>
          <w:spacing w:val="11"/>
          <w:sz w:val="21"/>
          <w:szCs w:val="21"/>
        </w:rPr>
        <w:t>.</w:t>
      </w:r>
      <w:r>
        <w:rPr>
          <w:rFonts w:hint="eastAsia" w:ascii="宋体" w:hAnsi="宋体" w:eastAsia="宋体" w:cs="宋体"/>
          <w:spacing w:val="11"/>
          <w:sz w:val="21"/>
          <w:szCs w:val="21"/>
          <w:lang w:val="en-US" w:eastAsia="zh-CN"/>
        </w:rPr>
        <w:t>5</w:t>
      </w:r>
      <w:r>
        <w:rPr>
          <w:rFonts w:hint="eastAsia" w:ascii="宋体" w:hAnsi="宋体" w:eastAsia="宋体" w:cs="宋体"/>
          <w:spacing w:val="11"/>
          <w:sz w:val="21"/>
          <w:szCs w:val="21"/>
        </w:rPr>
        <w:t>.</w:t>
      </w:r>
      <w:r>
        <w:rPr>
          <w:rFonts w:hint="eastAsia" w:ascii="宋体" w:hAnsi="宋体" w:eastAsia="宋体" w:cs="宋体"/>
          <w:spacing w:val="11"/>
          <w:sz w:val="21"/>
          <w:szCs w:val="21"/>
          <w:lang w:val="en-US" w:eastAsia="zh-CN"/>
        </w:rPr>
        <w:t>2</w:t>
      </w:r>
      <w:r>
        <w:rPr>
          <w:rFonts w:hint="eastAsia" w:ascii="宋体" w:hAnsi="宋体" w:eastAsia="宋体" w:cs="宋体"/>
          <w:spacing w:val="11"/>
          <w:sz w:val="21"/>
          <w:szCs w:val="21"/>
        </w:rPr>
        <w:t>)</w:t>
      </w:r>
    </w:p>
    <w:p>
      <w:pPr>
        <w:rPr>
          <w:rFonts w:hint="eastAsia" w:ascii="宋体" w:hAnsi="宋体" w:eastAsia="宋体" w:cs="宋体"/>
          <w:color w:val="auto"/>
          <w:sz w:val="21"/>
          <w:szCs w:val="21"/>
        </w:rPr>
      </w:pPr>
    </w:p>
    <w:p>
      <w:pPr>
        <w:rPr>
          <w:rFonts w:hint="eastAsia" w:ascii="宋体" w:hAnsi="宋体" w:eastAsia="宋体" w:cs="宋体"/>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16121D"/>
    <w:multiLevelType w:val="multilevel"/>
    <w:tmpl w:val="5416121D"/>
    <w:lvl w:ilvl="0" w:tentative="0">
      <w:start w:val="1"/>
      <w:numFmt w:val="decimal"/>
      <w:suff w:val="space"/>
      <w:lvlText w:val="%1."/>
      <w:lvlJc w:val="left"/>
      <w:pPr>
        <w:ind w:left="0" w:firstLine="0"/>
      </w:pPr>
      <w:rPr>
        <w:rFonts w:hint="default"/>
        <w:lang w:eastAsia="zh-CN"/>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4"/>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jMTQ0ZTExYzk0ZmQwNmE3NTAyOTRmMzJlM2M3OWYifQ=="/>
  </w:docVars>
  <w:rsids>
    <w:rsidRoot w:val="00AB29C2"/>
    <w:rsid w:val="000A1F26"/>
    <w:rsid w:val="0013473C"/>
    <w:rsid w:val="00182384"/>
    <w:rsid w:val="00184C24"/>
    <w:rsid w:val="001A38E2"/>
    <w:rsid w:val="0022349B"/>
    <w:rsid w:val="00251EBF"/>
    <w:rsid w:val="002B7200"/>
    <w:rsid w:val="00433BEF"/>
    <w:rsid w:val="00571A59"/>
    <w:rsid w:val="00623170"/>
    <w:rsid w:val="0065421D"/>
    <w:rsid w:val="00663B52"/>
    <w:rsid w:val="007313D4"/>
    <w:rsid w:val="008011BF"/>
    <w:rsid w:val="0082798F"/>
    <w:rsid w:val="00835526"/>
    <w:rsid w:val="009641C5"/>
    <w:rsid w:val="009C595B"/>
    <w:rsid w:val="00A238A5"/>
    <w:rsid w:val="00AB29C2"/>
    <w:rsid w:val="00AC3CF5"/>
    <w:rsid w:val="00B17D69"/>
    <w:rsid w:val="00B34EF7"/>
    <w:rsid w:val="00B76FC6"/>
    <w:rsid w:val="00CD0360"/>
    <w:rsid w:val="00E66894"/>
    <w:rsid w:val="00EA1DFB"/>
    <w:rsid w:val="00EF768D"/>
    <w:rsid w:val="00F36E86"/>
    <w:rsid w:val="0B484EBC"/>
    <w:rsid w:val="0CF32576"/>
    <w:rsid w:val="0FDF79BE"/>
    <w:rsid w:val="1434302A"/>
    <w:rsid w:val="1E827BFE"/>
    <w:rsid w:val="29443FC2"/>
    <w:rsid w:val="2D260A76"/>
    <w:rsid w:val="31156021"/>
    <w:rsid w:val="333F4774"/>
    <w:rsid w:val="3A127D55"/>
    <w:rsid w:val="50381C1E"/>
    <w:rsid w:val="557B4484"/>
    <w:rsid w:val="5DF62DC7"/>
    <w:rsid w:val="60394397"/>
    <w:rsid w:val="605F326E"/>
    <w:rsid w:val="6AE243FA"/>
    <w:rsid w:val="6DC64897"/>
    <w:rsid w:val="756859AB"/>
    <w:rsid w:val="7ECB6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11">
    <w:name w:val="批注框文本 字符"/>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1779</Words>
  <Characters>1950</Characters>
  <Lines>13</Lines>
  <Paragraphs>3</Paragraphs>
  <TotalTime>5</TotalTime>
  <ScaleCrop>false</ScaleCrop>
  <LinksUpToDate>false</LinksUpToDate>
  <CharactersWithSpaces>1950</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2023-08-02T06:14:00Z</dcterms:created>
  <dc:creator>Lsy</dc:creator>
  <cp:lastModifiedBy>jsyj-ysc2</cp:lastModifiedBy>
  <dcterms:modified xsi:type="dcterms:W3CDTF">2023-10-12T08:34:01Z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171B58FE9AE34835BA70D87EE2C574BF_12</vt:lpwstr>
  </property>
</Properties>
</file>